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400" w:rsidRDefault="00314400" w:rsidP="00314400">
      <w:pPr>
        <w:spacing w:after="0" w:line="240" w:lineRule="auto"/>
        <w:ind w:firstLine="426"/>
        <w:jc w:val="both"/>
        <w:rPr>
          <w:rFonts w:ascii="Arial" w:hAnsi="Arial" w:cs="Arial"/>
          <w:b/>
          <w:sz w:val="30"/>
          <w:szCs w:val="30"/>
        </w:rPr>
      </w:pPr>
      <w:r w:rsidRPr="009C0593">
        <w:rPr>
          <w:rFonts w:ascii="Arial" w:hAnsi="Arial" w:cs="Arial"/>
          <w:b/>
          <w:sz w:val="30"/>
          <w:szCs w:val="30"/>
        </w:rPr>
        <w:t>Налоговые уведомления по имущественным налогам за 2016</w:t>
      </w:r>
      <w:r>
        <w:rPr>
          <w:rFonts w:ascii="Arial" w:hAnsi="Arial" w:cs="Arial"/>
          <w:b/>
          <w:sz w:val="30"/>
          <w:szCs w:val="30"/>
        </w:rPr>
        <w:t>г.</w:t>
      </w:r>
      <w:r w:rsidRPr="009C0593">
        <w:rPr>
          <w:rFonts w:ascii="Arial" w:hAnsi="Arial" w:cs="Arial"/>
          <w:b/>
          <w:sz w:val="30"/>
          <w:szCs w:val="30"/>
        </w:rPr>
        <w:t xml:space="preserve"> </w:t>
      </w:r>
    </w:p>
    <w:p w:rsidR="00314400" w:rsidRPr="009C0593" w:rsidRDefault="00314400" w:rsidP="00314400">
      <w:pPr>
        <w:spacing w:after="0" w:line="240" w:lineRule="auto"/>
        <w:ind w:firstLine="426"/>
        <w:jc w:val="both"/>
        <w:rPr>
          <w:rFonts w:ascii="Arial" w:hAnsi="Arial" w:cs="Arial"/>
          <w:b/>
          <w:sz w:val="16"/>
          <w:szCs w:val="16"/>
        </w:rPr>
      </w:pPr>
    </w:p>
    <w:p w:rsidR="00314400" w:rsidRDefault="00314400" w:rsidP="00314400">
      <w:pPr>
        <w:spacing w:after="0" w:line="240" w:lineRule="auto"/>
        <w:ind w:firstLine="709"/>
        <w:jc w:val="both"/>
        <w:rPr>
          <w:rFonts w:ascii="Arial" w:hAnsi="Arial" w:cs="Arial"/>
          <w:sz w:val="26"/>
          <w:szCs w:val="26"/>
        </w:rPr>
      </w:pPr>
      <w:r w:rsidRPr="009C0593">
        <w:rPr>
          <w:rFonts w:ascii="Arial" w:hAnsi="Arial" w:cs="Arial"/>
          <w:sz w:val="26"/>
          <w:szCs w:val="26"/>
        </w:rPr>
        <w:t>Жители Красноярского края начали получать уведомления об уплате имущественных налогов за 2016 год</w:t>
      </w:r>
      <w:r>
        <w:rPr>
          <w:rFonts w:ascii="Arial" w:hAnsi="Arial" w:cs="Arial"/>
          <w:sz w:val="26"/>
          <w:szCs w:val="26"/>
        </w:rPr>
        <w:t xml:space="preserve">. </w:t>
      </w:r>
      <w:r w:rsidRPr="0031570F">
        <w:rPr>
          <w:rFonts w:ascii="Arial" w:hAnsi="Arial" w:cs="Arial"/>
          <w:sz w:val="26"/>
          <w:szCs w:val="26"/>
        </w:rPr>
        <w:t xml:space="preserve">Уведомления направляются заказными письмами по месту прописки. </w:t>
      </w:r>
    </w:p>
    <w:p w:rsidR="00314400" w:rsidRPr="0031570F" w:rsidRDefault="00314400" w:rsidP="00314400">
      <w:pPr>
        <w:spacing w:after="0" w:line="240" w:lineRule="auto"/>
        <w:ind w:firstLine="709"/>
        <w:jc w:val="both"/>
        <w:rPr>
          <w:rFonts w:ascii="Arial" w:hAnsi="Arial" w:cs="Arial"/>
          <w:sz w:val="26"/>
          <w:szCs w:val="26"/>
        </w:rPr>
      </w:pPr>
      <w:r w:rsidRPr="0031570F">
        <w:rPr>
          <w:rFonts w:ascii="Arial" w:hAnsi="Arial" w:cs="Arial"/>
          <w:sz w:val="26"/>
          <w:szCs w:val="26"/>
        </w:rPr>
        <w:t xml:space="preserve">Налоговые уведомления придут не всем. Если вы пользователь «Личного кабинета налогоплательщика </w:t>
      </w:r>
      <w:r w:rsidR="0056189E">
        <w:rPr>
          <w:rFonts w:ascii="Arial" w:hAnsi="Arial" w:cs="Arial"/>
          <w:sz w:val="26"/>
          <w:szCs w:val="26"/>
        </w:rPr>
        <w:t>для</w:t>
      </w:r>
      <w:r w:rsidRPr="0031570F">
        <w:rPr>
          <w:rFonts w:ascii="Arial" w:hAnsi="Arial" w:cs="Arial"/>
          <w:sz w:val="26"/>
          <w:szCs w:val="26"/>
        </w:rPr>
        <w:t xml:space="preserve"> физического лица», то увидеть начисления, а также оплатить налог в режиме онлайн вы можете уже сейчас, воспользовавшись данным сервисом (если только вы не заказывали специальн</w:t>
      </w:r>
      <w:r>
        <w:rPr>
          <w:rFonts w:ascii="Arial" w:hAnsi="Arial" w:cs="Arial"/>
          <w:sz w:val="26"/>
          <w:szCs w:val="26"/>
        </w:rPr>
        <w:t>ую</w:t>
      </w:r>
      <w:r w:rsidRPr="0031570F">
        <w:rPr>
          <w:rFonts w:ascii="Arial" w:hAnsi="Arial" w:cs="Arial"/>
          <w:sz w:val="26"/>
          <w:szCs w:val="26"/>
        </w:rPr>
        <w:t xml:space="preserve"> рассылку писем в бумажном виде).</w:t>
      </w:r>
    </w:p>
    <w:p w:rsidR="00314400" w:rsidRPr="0031570F" w:rsidRDefault="00314400" w:rsidP="00314400">
      <w:pPr>
        <w:spacing w:after="0" w:line="240" w:lineRule="auto"/>
        <w:ind w:firstLine="709"/>
        <w:jc w:val="both"/>
        <w:rPr>
          <w:rFonts w:ascii="Arial" w:hAnsi="Arial" w:cs="Arial"/>
          <w:sz w:val="26"/>
          <w:szCs w:val="26"/>
        </w:rPr>
      </w:pPr>
      <w:r w:rsidRPr="0031570F">
        <w:rPr>
          <w:rFonts w:ascii="Arial" w:hAnsi="Arial" w:cs="Arial"/>
          <w:sz w:val="26"/>
          <w:szCs w:val="26"/>
        </w:rPr>
        <w:t xml:space="preserve">Не придет </w:t>
      </w:r>
      <w:r>
        <w:rPr>
          <w:rFonts w:ascii="Arial" w:hAnsi="Arial" w:cs="Arial"/>
          <w:sz w:val="26"/>
          <w:szCs w:val="26"/>
        </w:rPr>
        <w:t xml:space="preserve">налоговое </w:t>
      </w:r>
      <w:r w:rsidRPr="0031570F">
        <w:rPr>
          <w:rFonts w:ascii="Arial" w:hAnsi="Arial" w:cs="Arial"/>
          <w:sz w:val="26"/>
          <w:szCs w:val="26"/>
        </w:rPr>
        <w:t>уведомление и тому, у кого сумма налога к уплате не превышает 100 рублей. Таким гражданам предстоит заплатить имущественный налог раз в 2 или 3 года.</w:t>
      </w:r>
    </w:p>
    <w:p w:rsidR="00314400" w:rsidRPr="0031570F" w:rsidRDefault="00314400" w:rsidP="00314400">
      <w:pPr>
        <w:spacing w:after="0" w:line="240" w:lineRule="auto"/>
        <w:ind w:firstLine="709"/>
        <w:jc w:val="both"/>
        <w:rPr>
          <w:rFonts w:ascii="Arial" w:hAnsi="Arial" w:cs="Arial"/>
          <w:sz w:val="26"/>
          <w:szCs w:val="26"/>
        </w:rPr>
      </w:pPr>
      <w:r w:rsidRPr="0031570F">
        <w:rPr>
          <w:rFonts w:ascii="Arial" w:hAnsi="Arial" w:cs="Arial"/>
          <w:sz w:val="26"/>
          <w:szCs w:val="26"/>
        </w:rPr>
        <w:t xml:space="preserve">Платить </w:t>
      </w:r>
      <w:r>
        <w:rPr>
          <w:rFonts w:ascii="Arial" w:hAnsi="Arial" w:cs="Arial"/>
          <w:sz w:val="26"/>
          <w:szCs w:val="26"/>
        </w:rPr>
        <w:t xml:space="preserve">налог на имущество </w:t>
      </w:r>
      <w:r w:rsidRPr="0031570F">
        <w:rPr>
          <w:rFonts w:ascii="Arial" w:hAnsi="Arial" w:cs="Arial"/>
          <w:sz w:val="26"/>
          <w:szCs w:val="26"/>
        </w:rPr>
        <w:t xml:space="preserve">в этом году придется чуть больше, чем в прошлом. В Красноярском крае налог по-прежнему исчисляется на основе инвентаризационной, а не кадастровой стоимости объектов недвижимости. В последний раз инвентаризационная стоимость утверждалась в 2013 году. Но в действительности она с каждым годом должна увеличиваться ввиду инфляции. Поэтому при налогоисчислении на основе инвентаризационной стоимости применяется коэффициент-дефлятор. В 2016 году Министерство экономического развития РФ утвердило его на уровне 1,329. При умножении </w:t>
      </w:r>
      <w:r>
        <w:rPr>
          <w:rFonts w:ascii="Arial" w:hAnsi="Arial" w:cs="Arial"/>
          <w:sz w:val="26"/>
          <w:szCs w:val="26"/>
        </w:rPr>
        <w:t>инвентаризационной стоимости на к</w:t>
      </w:r>
      <w:r w:rsidRPr="0031570F">
        <w:rPr>
          <w:rFonts w:ascii="Arial" w:hAnsi="Arial" w:cs="Arial"/>
          <w:sz w:val="26"/>
          <w:szCs w:val="26"/>
        </w:rPr>
        <w:t>оэффициент</w:t>
      </w:r>
      <w:r>
        <w:rPr>
          <w:rFonts w:ascii="Arial" w:hAnsi="Arial" w:cs="Arial"/>
          <w:sz w:val="26"/>
          <w:szCs w:val="26"/>
        </w:rPr>
        <w:t>-дефлятор</w:t>
      </w:r>
      <w:r w:rsidRPr="0031570F">
        <w:rPr>
          <w:rFonts w:ascii="Arial" w:hAnsi="Arial" w:cs="Arial"/>
          <w:sz w:val="26"/>
          <w:szCs w:val="26"/>
        </w:rPr>
        <w:t xml:space="preserve"> зачастую меняется ставка налога</w:t>
      </w:r>
      <w:r>
        <w:rPr>
          <w:rFonts w:ascii="Arial" w:hAnsi="Arial" w:cs="Arial"/>
          <w:sz w:val="26"/>
          <w:szCs w:val="26"/>
        </w:rPr>
        <w:t>. По</w:t>
      </w:r>
      <w:r w:rsidRPr="0031570F">
        <w:rPr>
          <w:rFonts w:ascii="Arial" w:hAnsi="Arial" w:cs="Arial"/>
          <w:sz w:val="26"/>
          <w:szCs w:val="26"/>
        </w:rPr>
        <w:t>этому некоторые налогоплательщики получат уведомления на уплату больших сумм, чем было ранее.</w:t>
      </w:r>
    </w:p>
    <w:p w:rsidR="00314400" w:rsidRPr="0031570F" w:rsidRDefault="00314400" w:rsidP="00314400">
      <w:pPr>
        <w:spacing w:after="0" w:line="240" w:lineRule="auto"/>
        <w:ind w:firstLine="709"/>
        <w:jc w:val="both"/>
        <w:rPr>
          <w:rFonts w:ascii="Arial" w:hAnsi="Arial" w:cs="Arial"/>
          <w:sz w:val="26"/>
          <w:szCs w:val="26"/>
        </w:rPr>
      </w:pPr>
      <w:r>
        <w:rPr>
          <w:rFonts w:ascii="Arial" w:hAnsi="Arial" w:cs="Arial"/>
          <w:sz w:val="26"/>
          <w:szCs w:val="26"/>
        </w:rPr>
        <w:t>Н</w:t>
      </w:r>
      <w:r w:rsidRPr="0031570F">
        <w:rPr>
          <w:rFonts w:ascii="Arial" w:hAnsi="Arial" w:cs="Arial"/>
          <w:sz w:val="26"/>
          <w:szCs w:val="26"/>
        </w:rPr>
        <w:t>е получ</w:t>
      </w:r>
      <w:r>
        <w:rPr>
          <w:rFonts w:ascii="Arial" w:hAnsi="Arial" w:cs="Arial"/>
          <w:sz w:val="26"/>
          <w:szCs w:val="26"/>
        </w:rPr>
        <w:t>а</w:t>
      </w:r>
      <w:r w:rsidRPr="0031570F">
        <w:rPr>
          <w:rFonts w:ascii="Arial" w:hAnsi="Arial" w:cs="Arial"/>
          <w:sz w:val="26"/>
          <w:szCs w:val="26"/>
        </w:rPr>
        <w:t>т</w:t>
      </w:r>
      <w:r>
        <w:rPr>
          <w:rFonts w:ascii="Arial" w:hAnsi="Arial" w:cs="Arial"/>
          <w:sz w:val="26"/>
          <w:szCs w:val="26"/>
        </w:rPr>
        <w:t xml:space="preserve"> </w:t>
      </w:r>
      <w:r w:rsidRPr="0031570F">
        <w:rPr>
          <w:rFonts w:ascii="Arial" w:hAnsi="Arial" w:cs="Arial"/>
          <w:sz w:val="26"/>
          <w:szCs w:val="26"/>
        </w:rPr>
        <w:t>налоговое уведомление</w:t>
      </w:r>
      <w:r>
        <w:rPr>
          <w:rFonts w:ascii="Arial" w:hAnsi="Arial" w:cs="Arial"/>
          <w:sz w:val="26"/>
          <w:szCs w:val="26"/>
        </w:rPr>
        <w:t xml:space="preserve"> те</w:t>
      </w:r>
      <w:r w:rsidRPr="0031570F">
        <w:rPr>
          <w:rFonts w:ascii="Arial" w:hAnsi="Arial" w:cs="Arial"/>
          <w:sz w:val="26"/>
          <w:szCs w:val="26"/>
        </w:rPr>
        <w:t>,</w:t>
      </w:r>
      <w:r>
        <w:rPr>
          <w:rFonts w:ascii="Arial" w:hAnsi="Arial" w:cs="Arial"/>
          <w:sz w:val="26"/>
          <w:szCs w:val="26"/>
        </w:rPr>
        <w:t xml:space="preserve"> кто</w:t>
      </w:r>
      <w:r w:rsidRPr="0031570F">
        <w:rPr>
          <w:rFonts w:ascii="Arial" w:hAnsi="Arial" w:cs="Arial"/>
          <w:sz w:val="26"/>
          <w:szCs w:val="26"/>
        </w:rPr>
        <w:t xml:space="preserve"> приобрел недвижимость после 2013 года (это касается квартир</w:t>
      </w:r>
      <w:r>
        <w:rPr>
          <w:rFonts w:ascii="Arial" w:hAnsi="Arial" w:cs="Arial"/>
          <w:sz w:val="26"/>
          <w:szCs w:val="26"/>
        </w:rPr>
        <w:t>, приобретенных</w:t>
      </w:r>
      <w:r w:rsidRPr="0031570F">
        <w:rPr>
          <w:rFonts w:ascii="Arial" w:hAnsi="Arial" w:cs="Arial"/>
          <w:sz w:val="26"/>
          <w:szCs w:val="26"/>
        </w:rPr>
        <w:t xml:space="preserve"> в новостройках). У новых объектов недвижимости не проводилась инвентаризационная оценка, то есть нет базы для расчета налога. Таким гражданам налоговые уведомления придут тогда, когда Красноярский край перейдет на систему налогообложения объектов недвижимости по кадастровой стоимости.</w:t>
      </w:r>
    </w:p>
    <w:p w:rsidR="00314400" w:rsidRPr="0031570F" w:rsidRDefault="00314400" w:rsidP="00314400">
      <w:pPr>
        <w:spacing w:after="0" w:line="240" w:lineRule="auto"/>
        <w:ind w:firstLine="709"/>
        <w:jc w:val="both"/>
        <w:rPr>
          <w:rFonts w:ascii="Arial" w:hAnsi="Arial" w:cs="Arial"/>
          <w:sz w:val="26"/>
          <w:szCs w:val="26"/>
        </w:rPr>
      </w:pPr>
      <w:r w:rsidRPr="0031570F">
        <w:rPr>
          <w:rFonts w:ascii="Arial" w:hAnsi="Arial" w:cs="Arial"/>
          <w:sz w:val="26"/>
          <w:szCs w:val="26"/>
        </w:rPr>
        <w:t xml:space="preserve">Напомним, что налоговая льгота может применяться только к одному объекту одной категории — к одному дому, одной квартире, одному гаражу и т. д. При этом налоговая ставка рассчитывается на основании суммарной инвентаризационной стоимости всех объектов. </w:t>
      </w:r>
    </w:p>
    <w:p w:rsidR="00314400" w:rsidRDefault="00314400" w:rsidP="00314400">
      <w:pPr>
        <w:spacing w:after="0" w:line="240" w:lineRule="auto"/>
        <w:ind w:firstLine="709"/>
        <w:jc w:val="both"/>
        <w:rPr>
          <w:rFonts w:ascii="Arial" w:hAnsi="Arial" w:cs="Arial"/>
          <w:sz w:val="26"/>
          <w:szCs w:val="26"/>
        </w:rPr>
      </w:pPr>
      <w:r w:rsidRPr="0031570F">
        <w:rPr>
          <w:rFonts w:ascii="Arial" w:hAnsi="Arial" w:cs="Arial"/>
          <w:sz w:val="26"/>
          <w:szCs w:val="26"/>
        </w:rPr>
        <w:t>Если вы</w:t>
      </w:r>
      <w:r>
        <w:rPr>
          <w:rFonts w:ascii="Arial" w:hAnsi="Arial" w:cs="Arial"/>
          <w:sz w:val="26"/>
          <w:szCs w:val="26"/>
        </w:rPr>
        <w:t xml:space="preserve"> не получили налоговое уведомление</w:t>
      </w:r>
      <w:r w:rsidRPr="0031570F">
        <w:rPr>
          <w:rFonts w:ascii="Arial" w:hAnsi="Arial" w:cs="Arial"/>
          <w:sz w:val="26"/>
          <w:szCs w:val="26"/>
        </w:rPr>
        <w:t xml:space="preserve">, то в </w:t>
      </w:r>
      <w:r>
        <w:rPr>
          <w:rFonts w:ascii="Arial" w:hAnsi="Arial" w:cs="Arial"/>
          <w:sz w:val="26"/>
          <w:szCs w:val="26"/>
        </w:rPr>
        <w:t>октябре</w:t>
      </w:r>
      <w:r w:rsidRPr="0031570F">
        <w:rPr>
          <w:rFonts w:ascii="Arial" w:hAnsi="Arial" w:cs="Arial"/>
          <w:sz w:val="26"/>
          <w:szCs w:val="26"/>
        </w:rPr>
        <w:t xml:space="preserve"> </w:t>
      </w:r>
      <w:r>
        <w:rPr>
          <w:rFonts w:ascii="Arial" w:hAnsi="Arial" w:cs="Arial"/>
          <w:sz w:val="26"/>
          <w:szCs w:val="26"/>
        </w:rPr>
        <w:t xml:space="preserve">месяце </w:t>
      </w:r>
      <w:r w:rsidRPr="0031570F">
        <w:rPr>
          <w:rFonts w:ascii="Arial" w:hAnsi="Arial" w:cs="Arial"/>
          <w:sz w:val="26"/>
          <w:szCs w:val="26"/>
        </w:rPr>
        <w:t xml:space="preserve">стоит побеспокоиться о том, чтобы выяснить, какую сумму вы должны заплатить. </w:t>
      </w:r>
      <w:r>
        <w:rPr>
          <w:rFonts w:ascii="Arial" w:hAnsi="Arial" w:cs="Arial"/>
          <w:sz w:val="26"/>
          <w:szCs w:val="26"/>
        </w:rPr>
        <w:t>Для этого вам следует обратиться</w:t>
      </w:r>
      <w:r w:rsidRPr="0031570F">
        <w:rPr>
          <w:rFonts w:ascii="Arial" w:hAnsi="Arial" w:cs="Arial"/>
          <w:sz w:val="26"/>
          <w:szCs w:val="26"/>
        </w:rPr>
        <w:t xml:space="preserve"> в налоговый орган по месту регистрации </w:t>
      </w:r>
      <w:r>
        <w:rPr>
          <w:rFonts w:ascii="Arial" w:hAnsi="Arial" w:cs="Arial"/>
          <w:sz w:val="26"/>
          <w:szCs w:val="26"/>
        </w:rPr>
        <w:t xml:space="preserve">или по месту нахождения имущества </w:t>
      </w:r>
      <w:r w:rsidRPr="0031570F">
        <w:rPr>
          <w:rFonts w:ascii="Arial" w:hAnsi="Arial" w:cs="Arial"/>
          <w:sz w:val="26"/>
          <w:szCs w:val="26"/>
        </w:rPr>
        <w:t xml:space="preserve">и попросить распечатать </w:t>
      </w:r>
      <w:r>
        <w:rPr>
          <w:rFonts w:ascii="Arial" w:hAnsi="Arial" w:cs="Arial"/>
          <w:sz w:val="26"/>
          <w:szCs w:val="26"/>
        </w:rPr>
        <w:t>дубликат налогового уведомления</w:t>
      </w:r>
      <w:r w:rsidRPr="0031570F">
        <w:rPr>
          <w:rFonts w:ascii="Arial" w:hAnsi="Arial" w:cs="Arial"/>
          <w:sz w:val="26"/>
          <w:szCs w:val="26"/>
        </w:rPr>
        <w:t>.</w:t>
      </w:r>
    </w:p>
    <w:p w:rsidR="00EB1B75" w:rsidRDefault="00EB1B75" w:rsidP="00EB1B75">
      <w:pPr>
        <w:spacing w:after="0" w:line="240" w:lineRule="auto"/>
        <w:jc w:val="both"/>
      </w:pPr>
      <w:r>
        <w:rPr>
          <w:rFonts w:ascii="Arial" w:hAnsi="Arial" w:cs="Arial"/>
          <w:sz w:val="26"/>
          <w:szCs w:val="26"/>
        </w:rPr>
        <w:t xml:space="preserve">    </w:t>
      </w:r>
      <w:r w:rsidRPr="00043ED4">
        <w:rPr>
          <w:rFonts w:ascii="Arial" w:hAnsi="Arial" w:cs="Arial"/>
          <w:color w:val="FF0000"/>
          <w:sz w:val="26"/>
          <w:szCs w:val="26"/>
        </w:rPr>
        <w:t xml:space="preserve">СРОК ОПЛАТЫ ИМУЩЕСТВЕННЫХ НАЛОГОВ ЗА 2016 год – </w:t>
      </w:r>
      <w:r w:rsidRPr="00043ED4">
        <w:rPr>
          <w:rFonts w:ascii="Arial" w:hAnsi="Arial" w:cs="Arial"/>
          <w:b/>
          <w:color w:val="FF0000"/>
          <w:sz w:val="26"/>
          <w:szCs w:val="26"/>
        </w:rPr>
        <w:t>1 декабря 2017г.</w:t>
      </w:r>
    </w:p>
    <w:p w:rsidR="00314400" w:rsidRDefault="00314400" w:rsidP="00314400">
      <w:pPr>
        <w:spacing w:after="0" w:line="240" w:lineRule="auto"/>
        <w:ind w:firstLine="709"/>
        <w:jc w:val="both"/>
        <w:rPr>
          <w:rFonts w:ascii="Arial" w:eastAsia="Times New Roman" w:hAnsi="Arial" w:cs="Arial"/>
          <w:snapToGrid w:val="0"/>
          <w:sz w:val="26"/>
          <w:szCs w:val="26"/>
          <w:lang w:eastAsia="ru-RU"/>
        </w:rPr>
      </w:pPr>
      <w:r w:rsidRPr="00BC3539">
        <w:rPr>
          <w:rFonts w:ascii="Arial" w:eastAsia="Times New Roman" w:hAnsi="Arial" w:cs="Arial"/>
          <w:snapToGrid w:val="0"/>
          <w:sz w:val="26"/>
          <w:szCs w:val="26"/>
          <w:lang w:eastAsia="ru-RU"/>
        </w:rPr>
        <w:t>В 2017 году налоговыми органами края была проведена сверка информации по земельным участкам, объектам недвижимости и транспортным средствам со сведениями, представленными регистрирующими органами. В результате сверки были актуализированы сведения об объектах налогообложения и сделан перерасчет имущественных налогов за 2014-2015 годы. Налоговые уведомления, содержащие сведения о перерасчетах за 2014-2015 годы, сформировались на полную сумму на</w:t>
      </w:r>
      <w:r>
        <w:rPr>
          <w:rFonts w:ascii="Arial" w:eastAsia="Times New Roman" w:hAnsi="Arial" w:cs="Arial"/>
          <w:snapToGrid w:val="0"/>
          <w:sz w:val="26"/>
          <w:szCs w:val="26"/>
          <w:lang w:eastAsia="ru-RU"/>
        </w:rPr>
        <w:t>лога без учета ранее уплаченной, ранее начисленные суммы налогов за эти периоды были аннулированы.</w:t>
      </w:r>
    </w:p>
    <w:p w:rsidR="00314400" w:rsidRPr="00F7674D" w:rsidRDefault="00314400" w:rsidP="00314400">
      <w:pPr>
        <w:spacing w:after="0" w:line="240" w:lineRule="auto"/>
        <w:ind w:firstLine="709"/>
        <w:jc w:val="both"/>
        <w:rPr>
          <w:rFonts w:ascii="Arial" w:eastAsia="Times New Roman" w:hAnsi="Arial" w:cs="Arial"/>
          <w:b/>
          <w:snapToGrid w:val="0"/>
          <w:sz w:val="26"/>
          <w:szCs w:val="26"/>
          <w:lang w:eastAsia="ru-RU"/>
        </w:rPr>
      </w:pPr>
      <w:r w:rsidRPr="00F7674D">
        <w:rPr>
          <w:rFonts w:ascii="Times New Roman" w:eastAsia="Times New Roman" w:hAnsi="Times New Roman" w:cs="Times New Roman"/>
          <w:snapToGrid w:val="0"/>
          <w:sz w:val="26"/>
          <w:szCs w:val="26"/>
          <w:lang w:eastAsia="ru-RU"/>
        </w:rPr>
        <w:t xml:space="preserve"> </w:t>
      </w:r>
      <w:r w:rsidRPr="00F7674D">
        <w:rPr>
          <w:rFonts w:ascii="Arial" w:eastAsia="Times New Roman" w:hAnsi="Arial" w:cs="Arial"/>
          <w:b/>
          <w:snapToGrid w:val="0"/>
          <w:sz w:val="26"/>
          <w:szCs w:val="26"/>
          <w:lang w:eastAsia="ru-RU"/>
        </w:rPr>
        <w:t xml:space="preserve">В случае если сумма налога за 2014-2015 годы совпадает с суммой налога, оплаченной ранее, то оплатить налоги </w:t>
      </w:r>
      <w:r>
        <w:rPr>
          <w:rFonts w:ascii="Arial" w:eastAsia="Times New Roman" w:hAnsi="Arial" w:cs="Arial"/>
          <w:b/>
          <w:snapToGrid w:val="0"/>
          <w:sz w:val="26"/>
          <w:szCs w:val="26"/>
          <w:lang w:eastAsia="ru-RU"/>
        </w:rPr>
        <w:t xml:space="preserve">нужно </w:t>
      </w:r>
      <w:r w:rsidRPr="00F7674D">
        <w:rPr>
          <w:rFonts w:ascii="Arial" w:eastAsia="Times New Roman" w:hAnsi="Arial" w:cs="Arial"/>
          <w:b/>
          <w:snapToGrid w:val="0"/>
          <w:sz w:val="26"/>
          <w:szCs w:val="26"/>
          <w:lang w:eastAsia="ru-RU"/>
        </w:rPr>
        <w:t>только за 2016 год.</w:t>
      </w:r>
    </w:p>
    <w:p w:rsidR="00EB1B75" w:rsidRDefault="00EB1B75" w:rsidP="00991A8E">
      <w:pPr>
        <w:spacing w:after="0" w:line="240" w:lineRule="auto"/>
        <w:ind w:firstLine="709"/>
        <w:jc w:val="both"/>
        <w:rPr>
          <w:rFonts w:ascii="Arial" w:hAnsi="Arial" w:cs="Arial"/>
          <w:b/>
          <w:sz w:val="24"/>
          <w:szCs w:val="24"/>
        </w:rPr>
      </w:pPr>
    </w:p>
    <w:p w:rsidR="00DF5C5D" w:rsidRPr="00B417A6" w:rsidRDefault="00DF5C5D" w:rsidP="00991A8E">
      <w:pPr>
        <w:spacing w:after="0" w:line="240" w:lineRule="auto"/>
        <w:ind w:firstLine="709"/>
        <w:jc w:val="both"/>
        <w:rPr>
          <w:rFonts w:ascii="Arial" w:hAnsi="Arial" w:cs="Arial"/>
          <w:b/>
          <w:sz w:val="32"/>
          <w:szCs w:val="32"/>
        </w:rPr>
      </w:pPr>
      <w:r w:rsidRPr="00B417A6">
        <w:rPr>
          <w:rFonts w:ascii="Arial" w:hAnsi="Arial" w:cs="Arial"/>
          <w:b/>
          <w:sz w:val="32"/>
          <w:szCs w:val="32"/>
        </w:rPr>
        <w:lastRenderedPageBreak/>
        <w:t xml:space="preserve">Пример расчета налога на имущество ФЛ </w:t>
      </w:r>
    </w:p>
    <w:p w:rsidR="0031570F" w:rsidRPr="00B417A6" w:rsidRDefault="00DF5C5D" w:rsidP="00991A8E">
      <w:pPr>
        <w:spacing w:after="0" w:line="240" w:lineRule="auto"/>
        <w:ind w:firstLine="709"/>
        <w:jc w:val="both"/>
        <w:rPr>
          <w:rFonts w:ascii="Arial" w:hAnsi="Arial" w:cs="Arial"/>
          <w:b/>
          <w:sz w:val="32"/>
          <w:szCs w:val="32"/>
        </w:rPr>
      </w:pPr>
      <w:r w:rsidRPr="00B417A6">
        <w:rPr>
          <w:rFonts w:ascii="Arial" w:hAnsi="Arial" w:cs="Arial"/>
          <w:b/>
          <w:sz w:val="32"/>
          <w:szCs w:val="32"/>
        </w:rPr>
        <w:t xml:space="preserve">для жителей </w:t>
      </w:r>
      <w:r w:rsidR="006478B9" w:rsidRPr="00B417A6">
        <w:rPr>
          <w:rFonts w:ascii="Arial" w:hAnsi="Arial" w:cs="Arial"/>
          <w:b/>
          <w:sz w:val="32"/>
          <w:szCs w:val="32"/>
        </w:rPr>
        <w:t xml:space="preserve">села </w:t>
      </w:r>
      <w:r w:rsidR="00D66DF6" w:rsidRPr="00B417A6">
        <w:rPr>
          <w:rFonts w:ascii="Arial" w:hAnsi="Arial" w:cs="Arial"/>
          <w:b/>
          <w:sz w:val="32"/>
          <w:szCs w:val="32"/>
        </w:rPr>
        <w:t>Агинское</w:t>
      </w:r>
      <w:r w:rsidRPr="00B417A6">
        <w:rPr>
          <w:rFonts w:ascii="Arial" w:hAnsi="Arial" w:cs="Arial"/>
          <w:b/>
          <w:sz w:val="32"/>
          <w:szCs w:val="32"/>
        </w:rPr>
        <w:t xml:space="preserve"> Красноярского края</w:t>
      </w:r>
    </w:p>
    <w:p w:rsidR="00DF5C5D" w:rsidRDefault="00DF5C5D" w:rsidP="00991A8E">
      <w:pPr>
        <w:spacing w:after="0" w:line="240" w:lineRule="auto"/>
        <w:ind w:firstLine="709"/>
        <w:jc w:val="both"/>
      </w:pPr>
    </w:p>
    <w:tbl>
      <w:tblPr>
        <w:tblStyle w:val="a5"/>
        <w:tblW w:w="0" w:type="auto"/>
        <w:tblInd w:w="1413" w:type="dxa"/>
        <w:tblLook w:val="04A0" w:firstRow="1" w:lastRow="0" w:firstColumn="1" w:lastColumn="0" w:noHBand="0" w:noVBand="1"/>
      </w:tblPr>
      <w:tblGrid>
        <w:gridCol w:w="7861"/>
      </w:tblGrid>
      <w:tr w:rsidR="00276DBF" w:rsidTr="00276DBF">
        <w:tc>
          <w:tcPr>
            <w:tcW w:w="7861" w:type="dxa"/>
          </w:tcPr>
          <w:p w:rsidR="00276DBF" w:rsidRDefault="00276DBF" w:rsidP="00276DBF">
            <w:pP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6DBF">
              <w:rPr>
                <w:rFonts w:ascii="Arial" w:hAnsi="Arial" w:cs="Arial"/>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Расчет налога на имущество физических лиц</w:t>
            </w:r>
          </w:p>
        </w:tc>
      </w:tr>
    </w:tbl>
    <w:p w:rsidR="00276DBF" w:rsidRDefault="00276DBF" w:rsidP="00691A74">
      <w:pPr>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a5"/>
        <w:tblW w:w="9368" w:type="dxa"/>
        <w:tblLook w:val="04A0" w:firstRow="1" w:lastRow="0" w:firstColumn="1" w:lastColumn="0" w:noHBand="0" w:noVBand="1"/>
      </w:tblPr>
      <w:tblGrid>
        <w:gridCol w:w="2760"/>
        <w:gridCol w:w="376"/>
        <w:gridCol w:w="1017"/>
        <w:gridCol w:w="376"/>
        <w:gridCol w:w="1752"/>
        <w:gridCol w:w="403"/>
        <w:gridCol w:w="2684"/>
      </w:tblGrid>
      <w:tr w:rsidR="008C6E1F" w:rsidTr="00276DBF">
        <w:tc>
          <w:tcPr>
            <w:tcW w:w="0" w:type="auto"/>
            <w:tcBorders>
              <w:right w:val="single" w:sz="4" w:space="0" w:color="auto"/>
            </w:tcBorders>
          </w:tcPr>
          <w:p w:rsidR="008C6E1F" w:rsidRPr="00276DBF" w:rsidRDefault="008C6E1F" w:rsidP="00691A74">
            <w:pPr>
              <w:jc w:val="center"/>
              <w:rPr>
                <w:rFonts w:ascii="Arial" w:hAnsi="Arial" w:cs="Arial"/>
                <w:sz w:val="26"/>
                <w:szCs w:val="26"/>
              </w:rPr>
            </w:pPr>
            <w:r w:rsidRPr="00276DBF">
              <w:rPr>
                <w:rFonts w:ascii="Arial" w:hAnsi="Arial" w:cs="Arial"/>
                <w:sz w:val="26"/>
                <w:szCs w:val="26"/>
              </w:rPr>
              <w:t>инвентаризационная</w:t>
            </w:r>
          </w:p>
          <w:p w:rsidR="008C6E1F" w:rsidRPr="008C6E1F" w:rsidRDefault="008C6E1F" w:rsidP="00691A74">
            <w:pPr>
              <w:jc w:val="center"/>
              <w:rPr>
                <w:rFonts w:ascii="Arial" w:hAnsi="Arial" w:cs="Arial"/>
                <w:sz w:val="32"/>
                <w:szCs w:val="32"/>
              </w:rPr>
            </w:pPr>
            <w:r w:rsidRPr="008C6E1F">
              <w:rPr>
                <w:rFonts w:ascii="Arial" w:hAnsi="Arial" w:cs="Arial"/>
                <w:sz w:val="32"/>
                <w:szCs w:val="32"/>
              </w:rPr>
              <w:t>стоимость</w:t>
            </w:r>
          </w:p>
        </w:tc>
        <w:tc>
          <w:tcPr>
            <w:tcW w:w="0" w:type="auto"/>
            <w:tcBorders>
              <w:top w:val="nil"/>
              <w:left w:val="single" w:sz="4" w:space="0" w:color="auto"/>
              <w:bottom w:val="nil"/>
              <w:right w:val="single" w:sz="4" w:space="0" w:color="auto"/>
            </w:tcBorders>
          </w:tcPr>
          <w:p w:rsidR="00276DBF" w:rsidRDefault="00276DBF" w:rsidP="00691A74">
            <w:pPr>
              <w:jc w:val="center"/>
              <w:rPr>
                <w:rFonts w:ascii="Arial" w:hAnsi="Arial" w:cs="Arial"/>
                <w:sz w:val="32"/>
                <w:szCs w:val="32"/>
              </w:rPr>
            </w:pPr>
          </w:p>
          <w:p w:rsidR="008C6E1F" w:rsidRDefault="008C6E1F" w:rsidP="00691A74">
            <w:pPr>
              <w:jc w:val="center"/>
              <w:rPr>
                <w:rFonts w:ascii="Arial" w:hAnsi="Arial" w:cs="Arial"/>
                <w:sz w:val="32"/>
                <w:szCs w:val="32"/>
              </w:rPr>
            </w:pPr>
            <w:r>
              <w:rPr>
                <w:rFonts w:ascii="Arial" w:hAnsi="Arial" w:cs="Arial"/>
                <w:sz w:val="32"/>
                <w:szCs w:val="32"/>
              </w:rPr>
              <w:t>х</w:t>
            </w:r>
          </w:p>
        </w:tc>
        <w:tc>
          <w:tcPr>
            <w:tcW w:w="0" w:type="auto"/>
            <w:tcBorders>
              <w:left w:val="single" w:sz="4" w:space="0" w:color="auto"/>
              <w:right w:val="single" w:sz="4" w:space="0" w:color="auto"/>
            </w:tcBorders>
          </w:tcPr>
          <w:p w:rsidR="00276DBF" w:rsidRDefault="00276DBF" w:rsidP="00276DBF">
            <w:pPr>
              <w:jc w:val="right"/>
              <w:rPr>
                <w:rFonts w:ascii="Arial" w:hAnsi="Arial" w:cs="Arial"/>
                <w:sz w:val="32"/>
                <w:szCs w:val="32"/>
              </w:rPr>
            </w:pPr>
          </w:p>
          <w:p w:rsidR="008C6E1F" w:rsidRDefault="008C6E1F" w:rsidP="00276DBF">
            <w:pPr>
              <w:jc w:val="right"/>
              <w:rPr>
                <w:rFonts w:ascii="Arial" w:hAnsi="Arial" w:cs="Arial"/>
                <w:sz w:val="32"/>
                <w:szCs w:val="32"/>
              </w:rPr>
            </w:pPr>
            <w:r>
              <w:rPr>
                <w:rFonts w:ascii="Arial" w:hAnsi="Arial" w:cs="Arial"/>
                <w:sz w:val="32"/>
                <w:szCs w:val="32"/>
              </w:rPr>
              <w:t>1,329</w:t>
            </w:r>
          </w:p>
        </w:tc>
        <w:tc>
          <w:tcPr>
            <w:tcW w:w="0" w:type="auto"/>
            <w:tcBorders>
              <w:top w:val="nil"/>
              <w:left w:val="single" w:sz="4" w:space="0" w:color="auto"/>
              <w:bottom w:val="nil"/>
              <w:right w:val="single" w:sz="4" w:space="0" w:color="auto"/>
            </w:tcBorders>
          </w:tcPr>
          <w:p w:rsidR="00276DBF" w:rsidRDefault="00276DBF" w:rsidP="00691A74">
            <w:pPr>
              <w:jc w:val="center"/>
              <w:rPr>
                <w:rFonts w:ascii="Arial" w:hAnsi="Arial" w:cs="Arial"/>
                <w:sz w:val="32"/>
                <w:szCs w:val="32"/>
              </w:rPr>
            </w:pPr>
          </w:p>
          <w:p w:rsidR="008C6E1F" w:rsidRDefault="008C6E1F" w:rsidP="00691A74">
            <w:pPr>
              <w:jc w:val="center"/>
              <w:rPr>
                <w:rFonts w:ascii="Arial" w:hAnsi="Arial" w:cs="Arial"/>
                <w:sz w:val="32"/>
                <w:szCs w:val="32"/>
              </w:rPr>
            </w:pPr>
            <w:r>
              <w:rPr>
                <w:rFonts w:ascii="Arial" w:hAnsi="Arial" w:cs="Arial"/>
                <w:sz w:val="32"/>
                <w:szCs w:val="32"/>
              </w:rPr>
              <w:t>х</w:t>
            </w:r>
          </w:p>
        </w:tc>
        <w:tc>
          <w:tcPr>
            <w:tcW w:w="0" w:type="auto"/>
            <w:tcBorders>
              <w:left w:val="single" w:sz="4" w:space="0" w:color="auto"/>
              <w:right w:val="single" w:sz="4" w:space="0" w:color="auto"/>
            </w:tcBorders>
          </w:tcPr>
          <w:p w:rsidR="008C6E1F" w:rsidRDefault="008C6E1F" w:rsidP="00691A74">
            <w:pPr>
              <w:jc w:val="center"/>
              <w:rPr>
                <w:rFonts w:ascii="Arial" w:hAnsi="Arial" w:cs="Arial"/>
                <w:sz w:val="32"/>
                <w:szCs w:val="32"/>
              </w:rPr>
            </w:pPr>
            <w:r>
              <w:rPr>
                <w:rFonts w:ascii="Arial" w:hAnsi="Arial" w:cs="Arial"/>
                <w:sz w:val="32"/>
                <w:szCs w:val="32"/>
              </w:rPr>
              <w:t>налоговая</w:t>
            </w:r>
          </w:p>
          <w:p w:rsidR="008C6E1F" w:rsidRDefault="008C6E1F" w:rsidP="00691A74">
            <w:pPr>
              <w:jc w:val="center"/>
              <w:rPr>
                <w:rFonts w:ascii="Arial" w:hAnsi="Arial" w:cs="Arial"/>
                <w:sz w:val="32"/>
                <w:szCs w:val="32"/>
              </w:rPr>
            </w:pPr>
            <w:r>
              <w:rPr>
                <w:rFonts w:ascii="Arial" w:hAnsi="Arial" w:cs="Arial"/>
                <w:sz w:val="32"/>
                <w:szCs w:val="32"/>
              </w:rPr>
              <w:t>ставка</w:t>
            </w:r>
          </w:p>
        </w:tc>
        <w:tc>
          <w:tcPr>
            <w:tcW w:w="0" w:type="auto"/>
            <w:tcBorders>
              <w:top w:val="nil"/>
              <w:left w:val="single" w:sz="4" w:space="0" w:color="auto"/>
              <w:bottom w:val="nil"/>
              <w:right w:val="single" w:sz="4" w:space="0" w:color="auto"/>
            </w:tcBorders>
          </w:tcPr>
          <w:p w:rsidR="00276DBF" w:rsidRDefault="00276DBF" w:rsidP="00691A74">
            <w:pPr>
              <w:jc w:val="center"/>
              <w:rPr>
                <w:rFonts w:ascii="Arial" w:hAnsi="Arial" w:cs="Arial"/>
                <w:sz w:val="32"/>
                <w:szCs w:val="32"/>
              </w:rPr>
            </w:pPr>
          </w:p>
          <w:p w:rsidR="008C6E1F" w:rsidRDefault="008C6E1F" w:rsidP="00691A74">
            <w:pPr>
              <w:jc w:val="center"/>
              <w:rPr>
                <w:rFonts w:ascii="Arial" w:hAnsi="Arial" w:cs="Arial"/>
                <w:sz w:val="32"/>
                <w:szCs w:val="32"/>
              </w:rPr>
            </w:pPr>
            <w:r>
              <w:rPr>
                <w:rFonts w:ascii="Arial" w:hAnsi="Arial" w:cs="Arial"/>
                <w:sz w:val="32"/>
                <w:szCs w:val="32"/>
              </w:rPr>
              <w:t>=</w:t>
            </w:r>
          </w:p>
        </w:tc>
        <w:tc>
          <w:tcPr>
            <w:tcW w:w="2684" w:type="dxa"/>
            <w:tcBorders>
              <w:left w:val="single" w:sz="4" w:space="0" w:color="auto"/>
            </w:tcBorders>
          </w:tcPr>
          <w:p w:rsidR="008C6E1F" w:rsidRDefault="008C6E1F" w:rsidP="00691A74">
            <w:pPr>
              <w:jc w:val="center"/>
              <w:rPr>
                <w:rFonts w:ascii="Arial" w:hAnsi="Arial" w:cs="Arial"/>
                <w:sz w:val="32"/>
                <w:szCs w:val="32"/>
              </w:rPr>
            </w:pPr>
            <w:r w:rsidRPr="001E7D98">
              <w:rPr>
                <w:rFonts w:ascii="Arial" w:hAnsi="Arial" w:cs="Arial"/>
                <w:color w:val="0070C0"/>
                <w:sz w:val="32"/>
                <w:szCs w:val="32"/>
              </w:rPr>
              <w:t>Имущественный налог</w:t>
            </w:r>
          </w:p>
        </w:tc>
      </w:tr>
    </w:tbl>
    <w:p w:rsidR="00691A74" w:rsidRDefault="00DF5C5D" w:rsidP="00EB1B75">
      <w:pPr>
        <w:spacing w:after="0" w:line="240" w:lineRule="auto"/>
        <w:rPr>
          <w:rFonts w:ascii="Arial" w:hAnsi="Arial" w:cs="Arial"/>
          <w:sz w:val="16"/>
          <w:szCs w:val="16"/>
        </w:rPr>
      </w:pPr>
      <w:r>
        <w:rPr>
          <w:rFonts w:ascii="Arial" w:hAnsi="Arial" w:cs="Arial"/>
          <w:noProof/>
          <w:sz w:val="32"/>
          <w:szCs w:val="32"/>
          <w:lang w:eastAsia="ru-RU"/>
        </w:rPr>
        <mc:AlternateContent>
          <mc:Choice Requires="wps">
            <w:drawing>
              <wp:anchor distT="0" distB="0" distL="114300" distR="114300" simplePos="0" relativeHeight="251662336" behindDoc="0" locked="0" layoutInCell="1" allowOverlap="1" wp14:anchorId="05C7E9B2" wp14:editId="615D13F9">
                <wp:simplePos x="0" y="0"/>
                <wp:positionH relativeFrom="column">
                  <wp:posOffset>-2540</wp:posOffset>
                </wp:positionH>
                <wp:positionV relativeFrom="paragraph">
                  <wp:posOffset>-1270</wp:posOffset>
                </wp:positionV>
                <wp:extent cx="545465" cy="487680"/>
                <wp:effectExtent l="19050" t="0" r="45085" b="45720"/>
                <wp:wrapNone/>
                <wp:docPr id="7" name="Стрелка вниз 7"/>
                <wp:cNvGraphicFramePr/>
                <a:graphic xmlns:a="http://schemas.openxmlformats.org/drawingml/2006/main">
                  <a:graphicData uri="http://schemas.microsoft.com/office/word/2010/wordprocessingShape">
                    <wps:wsp>
                      <wps:cNvSpPr/>
                      <wps:spPr>
                        <a:xfrm>
                          <a:off x="0" y="0"/>
                          <a:ext cx="545465" cy="4876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972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pt;margin-top:-.1pt;width:42.9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" adj="10800" fillcolor="#5b9bd5" strokecolor="#41719c" strokeweight="1pt"/>
            </w:pict>
          </mc:Fallback>
        </mc:AlternateContent>
      </w:r>
      <w:r w:rsidR="00EB1B75">
        <w:rPr>
          <w:rFonts w:ascii="Arial" w:hAnsi="Arial" w:cs="Arial"/>
          <w:sz w:val="16"/>
          <w:szCs w:val="16"/>
        </w:rPr>
        <w:t xml:space="preserve">                                                                    Коэффициент-</w:t>
      </w:r>
    </w:p>
    <w:p w:rsidR="00EB1B75" w:rsidRDefault="00EB1B75" w:rsidP="00EB1B75">
      <w:pPr>
        <w:spacing w:after="0" w:line="240" w:lineRule="auto"/>
        <w:rPr>
          <w:rFonts w:ascii="Arial" w:hAnsi="Arial" w:cs="Arial"/>
          <w:sz w:val="16"/>
          <w:szCs w:val="16"/>
        </w:rPr>
      </w:pPr>
      <w:r>
        <w:rPr>
          <w:rFonts w:ascii="Arial" w:hAnsi="Arial" w:cs="Arial"/>
          <w:sz w:val="16"/>
          <w:szCs w:val="16"/>
        </w:rPr>
        <w:t xml:space="preserve">                                                                    Дефлятор</w:t>
      </w:r>
    </w:p>
    <w:p w:rsidR="00EB1B75" w:rsidRDefault="00EB1B75" w:rsidP="00EB1B75">
      <w:pPr>
        <w:spacing w:after="0" w:line="240" w:lineRule="auto"/>
        <w:rPr>
          <w:rFonts w:ascii="Arial" w:hAnsi="Arial" w:cs="Arial"/>
          <w:sz w:val="32"/>
          <w:szCs w:val="32"/>
        </w:rPr>
      </w:pPr>
    </w:p>
    <w:tbl>
      <w:tblPr>
        <w:tblW w:w="9707"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87"/>
        <w:gridCol w:w="2693"/>
        <w:gridCol w:w="3827"/>
      </w:tblGrid>
      <w:tr w:rsidR="004C5534" w:rsidRPr="00D36837" w:rsidTr="00DF5C5D">
        <w:trPr>
          <w:trHeight w:val="359"/>
          <w:tblCellSpacing w:w="5" w:type="nil"/>
        </w:trPr>
        <w:tc>
          <w:tcPr>
            <w:tcW w:w="3187" w:type="dxa"/>
          </w:tcPr>
          <w:p w:rsidR="004C5534" w:rsidRPr="00D36837" w:rsidRDefault="004C5534" w:rsidP="00A42773">
            <w:pPr>
              <w:pStyle w:val="ConsPlusCell"/>
              <w:jc w:val="center"/>
              <w:rPr>
                <w:sz w:val="26"/>
                <w:szCs w:val="26"/>
              </w:rPr>
            </w:pPr>
            <w:r w:rsidRPr="00D36837">
              <w:rPr>
                <w:sz w:val="26"/>
                <w:szCs w:val="26"/>
              </w:rPr>
              <w:t xml:space="preserve">Суммарная инвентаризационная   </w:t>
            </w:r>
            <w:r w:rsidRPr="00D36837">
              <w:rPr>
                <w:sz w:val="26"/>
                <w:szCs w:val="26"/>
              </w:rPr>
              <w:br/>
              <w:t>стоимость объектов налогообложения</w:t>
            </w:r>
          </w:p>
        </w:tc>
        <w:tc>
          <w:tcPr>
            <w:tcW w:w="2693" w:type="dxa"/>
          </w:tcPr>
          <w:p w:rsidR="004C5534" w:rsidRPr="00D36837" w:rsidRDefault="004C5534" w:rsidP="00BB1D01">
            <w:pPr>
              <w:pStyle w:val="ConsPlusCell"/>
              <w:jc w:val="center"/>
              <w:rPr>
                <w:sz w:val="26"/>
                <w:szCs w:val="26"/>
              </w:rPr>
            </w:pPr>
            <w:r w:rsidRPr="00D36837">
              <w:rPr>
                <w:sz w:val="26"/>
                <w:szCs w:val="26"/>
              </w:rPr>
              <w:t>Предельная ставка налога (</w:t>
            </w:r>
            <w:r>
              <w:rPr>
                <w:sz w:val="26"/>
                <w:szCs w:val="26"/>
              </w:rPr>
              <w:t>ст.406 НК РФ</w:t>
            </w:r>
            <w:r w:rsidRPr="00D36837">
              <w:rPr>
                <w:sz w:val="26"/>
                <w:szCs w:val="26"/>
              </w:rPr>
              <w:t>)</w:t>
            </w:r>
          </w:p>
        </w:tc>
        <w:tc>
          <w:tcPr>
            <w:tcW w:w="3827" w:type="dxa"/>
          </w:tcPr>
          <w:p w:rsidR="004C5534" w:rsidRPr="004C5534" w:rsidRDefault="004C5534" w:rsidP="000E3675">
            <w:pPr>
              <w:rPr>
                <w:rFonts w:ascii="Arial" w:hAnsi="Arial" w:cs="Arial"/>
                <w:sz w:val="26"/>
                <w:szCs w:val="26"/>
              </w:rPr>
            </w:pPr>
            <w:r w:rsidRPr="004C5534">
              <w:rPr>
                <w:rFonts w:ascii="Arial" w:hAnsi="Arial" w:cs="Arial"/>
                <w:sz w:val="26"/>
                <w:szCs w:val="26"/>
              </w:rPr>
              <w:t>Ставка налога (Решение №20  от 14.11.2014г.)</w:t>
            </w:r>
          </w:p>
        </w:tc>
      </w:tr>
      <w:tr w:rsidR="004C5534" w:rsidRPr="00D36837" w:rsidTr="00DF5C5D">
        <w:trPr>
          <w:trHeight w:val="609"/>
          <w:tblCellSpacing w:w="5" w:type="nil"/>
        </w:trPr>
        <w:tc>
          <w:tcPr>
            <w:tcW w:w="3187" w:type="dxa"/>
            <w:vAlign w:val="center"/>
          </w:tcPr>
          <w:p w:rsidR="004C5534" w:rsidRPr="00D36837" w:rsidRDefault="004C5534" w:rsidP="00DF5C5D">
            <w:pPr>
              <w:pStyle w:val="ConsPlusCell"/>
              <w:rPr>
                <w:sz w:val="26"/>
                <w:szCs w:val="26"/>
              </w:rPr>
            </w:pPr>
            <w:r w:rsidRPr="00D36837">
              <w:rPr>
                <w:sz w:val="26"/>
                <w:szCs w:val="26"/>
              </w:rPr>
              <w:t xml:space="preserve">до 300 000 рублей </w:t>
            </w:r>
          </w:p>
        </w:tc>
        <w:tc>
          <w:tcPr>
            <w:tcW w:w="2693" w:type="dxa"/>
            <w:vAlign w:val="center"/>
          </w:tcPr>
          <w:p w:rsidR="004C5534" w:rsidRPr="00D36837" w:rsidRDefault="004C5534" w:rsidP="00A42773">
            <w:pPr>
              <w:pStyle w:val="ConsPlusCell"/>
              <w:rPr>
                <w:sz w:val="26"/>
                <w:szCs w:val="26"/>
              </w:rPr>
            </w:pPr>
            <w:r w:rsidRPr="00D36837">
              <w:rPr>
                <w:sz w:val="26"/>
                <w:szCs w:val="26"/>
              </w:rPr>
              <w:t>до 0,1%</w:t>
            </w:r>
          </w:p>
        </w:tc>
        <w:tc>
          <w:tcPr>
            <w:tcW w:w="3827" w:type="dxa"/>
          </w:tcPr>
          <w:p w:rsidR="004C5534" w:rsidRPr="004C5534" w:rsidRDefault="004C5534" w:rsidP="000E3675">
            <w:pPr>
              <w:rPr>
                <w:rFonts w:ascii="Arial" w:hAnsi="Arial" w:cs="Arial"/>
                <w:sz w:val="26"/>
                <w:szCs w:val="26"/>
              </w:rPr>
            </w:pPr>
            <w:r w:rsidRPr="004C5534">
              <w:rPr>
                <w:rFonts w:ascii="Arial" w:hAnsi="Arial" w:cs="Arial"/>
                <w:sz w:val="26"/>
                <w:szCs w:val="26"/>
              </w:rPr>
              <w:t>0,1%</w:t>
            </w:r>
          </w:p>
        </w:tc>
      </w:tr>
      <w:tr w:rsidR="004C5534" w:rsidRPr="00D36837" w:rsidTr="00DF5C5D">
        <w:trPr>
          <w:trHeight w:val="359"/>
          <w:tblCellSpacing w:w="5" w:type="nil"/>
        </w:trPr>
        <w:tc>
          <w:tcPr>
            <w:tcW w:w="3187" w:type="dxa"/>
            <w:vAlign w:val="center"/>
          </w:tcPr>
          <w:p w:rsidR="004C5534" w:rsidRPr="00D36837" w:rsidRDefault="004C5534" w:rsidP="00A42773">
            <w:pPr>
              <w:pStyle w:val="ConsPlusCell"/>
              <w:rPr>
                <w:sz w:val="26"/>
                <w:szCs w:val="26"/>
              </w:rPr>
            </w:pPr>
            <w:r w:rsidRPr="00D36837">
              <w:rPr>
                <w:sz w:val="26"/>
                <w:szCs w:val="26"/>
              </w:rPr>
              <w:t>свыше 300 000 рублей</w:t>
            </w:r>
          </w:p>
          <w:p w:rsidR="004C5534" w:rsidRPr="00D36837" w:rsidRDefault="004C5534" w:rsidP="00DF5C5D">
            <w:pPr>
              <w:pStyle w:val="ConsPlusCell"/>
              <w:rPr>
                <w:sz w:val="26"/>
                <w:szCs w:val="26"/>
              </w:rPr>
            </w:pPr>
            <w:r w:rsidRPr="00D36837">
              <w:rPr>
                <w:sz w:val="26"/>
                <w:szCs w:val="26"/>
              </w:rPr>
              <w:t xml:space="preserve"> до 500 000 рублей </w:t>
            </w:r>
          </w:p>
        </w:tc>
        <w:tc>
          <w:tcPr>
            <w:tcW w:w="2693" w:type="dxa"/>
            <w:vAlign w:val="center"/>
          </w:tcPr>
          <w:p w:rsidR="004C5534" w:rsidRPr="00D36837" w:rsidRDefault="004C5534" w:rsidP="00DF5C5D">
            <w:pPr>
              <w:pStyle w:val="ConsPlusCell"/>
              <w:rPr>
                <w:sz w:val="26"/>
                <w:szCs w:val="26"/>
              </w:rPr>
            </w:pPr>
            <w:r w:rsidRPr="00D36837">
              <w:rPr>
                <w:sz w:val="26"/>
                <w:szCs w:val="26"/>
              </w:rPr>
              <w:t>свыше 0,1%</w:t>
            </w:r>
            <w:r>
              <w:rPr>
                <w:sz w:val="26"/>
                <w:szCs w:val="26"/>
                <w:lang w:val="en-US"/>
              </w:rPr>
              <w:t xml:space="preserve"> </w:t>
            </w:r>
            <w:r w:rsidRPr="00D36837">
              <w:rPr>
                <w:sz w:val="26"/>
                <w:szCs w:val="26"/>
              </w:rPr>
              <w:t xml:space="preserve">до 0,3% </w:t>
            </w:r>
          </w:p>
        </w:tc>
        <w:tc>
          <w:tcPr>
            <w:tcW w:w="3827" w:type="dxa"/>
          </w:tcPr>
          <w:p w:rsidR="004C5534" w:rsidRPr="004C5534" w:rsidRDefault="004C5534" w:rsidP="000E3675">
            <w:pPr>
              <w:rPr>
                <w:rFonts w:ascii="Arial" w:hAnsi="Arial" w:cs="Arial"/>
                <w:sz w:val="26"/>
                <w:szCs w:val="26"/>
              </w:rPr>
            </w:pPr>
            <w:r w:rsidRPr="004C5534">
              <w:rPr>
                <w:rFonts w:ascii="Arial" w:hAnsi="Arial" w:cs="Arial"/>
                <w:sz w:val="26"/>
                <w:szCs w:val="26"/>
              </w:rPr>
              <w:t>0,15%</w:t>
            </w:r>
          </w:p>
        </w:tc>
      </w:tr>
      <w:tr w:rsidR="004C5534" w:rsidRPr="00D36837" w:rsidTr="00DF5C5D">
        <w:trPr>
          <w:trHeight w:val="359"/>
          <w:tblCellSpacing w:w="5" w:type="nil"/>
        </w:trPr>
        <w:tc>
          <w:tcPr>
            <w:tcW w:w="3187" w:type="dxa"/>
            <w:vAlign w:val="center"/>
          </w:tcPr>
          <w:p w:rsidR="004C5534" w:rsidRPr="00D36837" w:rsidRDefault="004C5534" w:rsidP="00A42773">
            <w:pPr>
              <w:pStyle w:val="ConsPlusCell"/>
              <w:rPr>
                <w:sz w:val="26"/>
                <w:szCs w:val="26"/>
              </w:rPr>
            </w:pPr>
            <w:r w:rsidRPr="00D36837">
              <w:rPr>
                <w:sz w:val="26"/>
                <w:szCs w:val="26"/>
              </w:rPr>
              <w:t xml:space="preserve">свыше 500 000 рублей              </w:t>
            </w:r>
          </w:p>
        </w:tc>
        <w:tc>
          <w:tcPr>
            <w:tcW w:w="2693" w:type="dxa"/>
            <w:vAlign w:val="center"/>
          </w:tcPr>
          <w:p w:rsidR="004C5534" w:rsidRPr="00D36837" w:rsidRDefault="004C5534" w:rsidP="00DF5C5D">
            <w:pPr>
              <w:pStyle w:val="ConsPlusCell"/>
              <w:rPr>
                <w:sz w:val="26"/>
                <w:szCs w:val="26"/>
              </w:rPr>
            </w:pPr>
            <w:r w:rsidRPr="00D36837">
              <w:rPr>
                <w:sz w:val="26"/>
                <w:szCs w:val="26"/>
              </w:rPr>
              <w:t>свыше 0,3%</w:t>
            </w:r>
            <w:r>
              <w:rPr>
                <w:sz w:val="26"/>
                <w:szCs w:val="26"/>
                <w:lang w:val="en-US"/>
              </w:rPr>
              <w:t xml:space="preserve"> </w:t>
            </w:r>
            <w:r w:rsidRPr="00D36837">
              <w:rPr>
                <w:sz w:val="26"/>
                <w:szCs w:val="26"/>
              </w:rPr>
              <w:t>до 2,0%</w:t>
            </w:r>
          </w:p>
        </w:tc>
        <w:tc>
          <w:tcPr>
            <w:tcW w:w="3827" w:type="dxa"/>
          </w:tcPr>
          <w:p w:rsidR="004C5534" w:rsidRPr="004C5534" w:rsidRDefault="004C5534" w:rsidP="000E3675">
            <w:pPr>
              <w:rPr>
                <w:rFonts w:ascii="Arial" w:hAnsi="Arial" w:cs="Arial"/>
                <w:sz w:val="26"/>
                <w:szCs w:val="26"/>
              </w:rPr>
            </w:pPr>
            <w:r w:rsidRPr="004C5534">
              <w:rPr>
                <w:rFonts w:ascii="Arial" w:hAnsi="Arial" w:cs="Arial"/>
                <w:sz w:val="26"/>
                <w:szCs w:val="26"/>
              </w:rPr>
              <w:t>0,35%</w:t>
            </w:r>
          </w:p>
        </w:tc>
      </w:tr>
    </w:tbl>
    <w:p w:rsidR="008C6E1F" w:rsidRDefault="008C6E1F" w:rsidP="00691A74">
      <w:pPr>
        <w:jc w:val="center"/>
        <w:rPr>
          <w:rFonts w:ascii="Arial" w:hAnsi="Arial" w:cs="Arial"/>
          <w:sz w:val="32"/>
          <w:szCs w:val="32"/>
        </w:rPr>
      </w:pPr>
    </w:p>
    <w:p w:rsidR="00276DBF" w:rsidRDefault="00276DBF" w:rsidP="00276DBF">
      <w:pPr>
        <w:jc w:val="both"/>
        <w:rPr>
          <w:rFonts w:ascii="Arial" w:hAnsi="Arial" w:cs="Arial"/>
          <w:sz w:val="24"/>
          <w:szCs w:val="24"/>
        </w:rPr>
      </w:pPr>
      <w:r w:rsidRPr="00276DBF">
        <w:rPr>
          <w:rFonts w:ascii="Arial" w:hAnsi="Arial" w:cs="Arial"/>
          <w:b/>
          <w:sz w:val="24"/>
          <w:szCs w:val="24"/>
        </w:rPr>
        <w:t>Инвентаризационная стоимость</w:t>
      </w:r>
      <w:r>
        <w:rPr>
          <w:rFonts w:ascii="Arial" w:hAnsi="Arial" w:cs="Arial"/>
          <w:sz w:val="24"/>
          <w:szCs w:val="24"/>
        </w:rPr>
        <w:t xml:space="preserve"> </w:t>
      </w:r>
      <w:r w:rsidRPr="00276DBF">
        <w:rPr>
          <w:rFonts w:ascii="Arial" w:hAnsi="Arial" w:cs="Arial"/>
          <w:sz w:val="24"/>
          <w:szCs w:val="24"/>
        </w:rPr>
        <w:t>-</w:t>
      </w:r>
      <w:r>
        <w:rPr>
          <w:rFonts w:ascii="Arial" w:hAnsi="Arial" w:cs="Arial"/>
          <w:sz w:val="24"/>
          <w:szCs w:val="24"/>
        </w:rPr>
        <w:t xml:space="preserve"> </w:t>
      </w:r>
      <w:r w:rsidRPr="00276DBF">
        <w:rPr>
          <w:rFonts w:ascii="Arial" w:hAnsi="Arial" w:cs="Arial"/>
          <w:sz w:val="24"/>
          <w:szCs w:val="24"/>
        </w:rPr>
        <w:t>стоимость объекта налогообложения с учетом износа и динамики цен на строительную продукцию, устанавливается бюро технической инвентаризации (БТИ)</w:t>
      </w:r>
      <w:r w:rsidR="00EB1B75">
        <w:rPr>
          <w:rFonts w:ascii="Arial" w:hAnsi="Arial" w:cs="Arial"/>
          <w:sz w:val="24"/>
          <w:szCs w:val="24"/>
        </w:rPr>
        <w:t>.</w:t>
      </w:r>
    </w:p>
    <w:p w:rsidR="00276DBF" w:rsidRDefault="00276DBF" w:rsidP="00276DBF">
      <w:pPr>
        <w:jc w:val="both"/>
        <w:rPr>
          <w:rFonts w:ascii="Arial" w:hAnsi="Arial" w:cs="Arial"/>
          <w:sz w:val="24"/>
          <w:szCs w:val="24"/>
        </w:rPr>
      </w:pPr>
      <w:r w:rsidRPr="00276DBF">
        <w:rPr>
          <w:rFonts w:ascii="Arial" w:hAnsi="Arial" w:cs="Arial"/>
          <w:b/>
          <w:sz w:val="24"/>
          <w:szCs w:val="24"/>
        </w:rPr>
        <w:t>Коэффициент-дефлятор</w:t>
      </w:r>
      <w:r>
        <w:rPr>
          <w:rFonts w:ascii="Arial" w:hAnsi="Arial" w:cs="Arial"/>
          <w:sz w:val="24"/>
          <w:szCs w:val="24"/>
        </w:rPr>
        <w:t xml:space="preserve"> (на 2016 год – </w:t>
      </w:r>
      <w:r w:rsidRPr="00276DBF">
        <w:rPr>
          <w:rFonts w:ascii="Arial" w:hAnsi="Arial" w:cs="Arial"/>
          <w:b/>
          <w:sz w:val="24"/>
          <w:szCs w:val="24"/>
        </w:rPr>
        <w:t>1,329</w:t>
      </w:r>
      <w:r>
        <w:rPr>
          <w:rFonts w:ascii="Arial" w:hAnsi="Arial" w:cs="Arial"/>
          <w:sz w:val="24"/>
          <w:szCs w:val="24"/>
        </w:rPr>
        <w:t>)</w:t>
      </w:r>
      <w:r w:rsidR="004C2BAC">
        <w:rPr>
          <w:rFonts w:ascii="Arial" w:hAnsi="Arial" w:cs="Arial"/>
          <w:sz w:val="24"/>
          <w:szCs w:val="24"/>
        </w:rPr>
        <w:t xml:space="preserve"> – это ежегодно устанавливаемый на календарный год коэффициент, учитывающий изменения потребительских цен на товары (работы, услуги) в Российской Федерации в предшествующем периоде.</w:t>
      </w:r>
    </w:p>
    <w:p w:rsidR="00DF1488" w:rsidRDefault="00DF1488" w:rsidP="00276DBF">
      <w:pPr>
        <w:jc w:val="both"/>
        <w:rPr>
          <w:rFonts w:ascii="Arial" w:hAnsi="Arial" w:cs="Arial"/>
          <w:sz w:val="24"/>
          <w:szCs w:val="24"/>
        </w:rPr>
      </w:pPr>
    </w:p>
    <w:tbl>
      <w:tblPr>
        <w:tblStyle w:val="a5"/>
        <w:tblW w:w="0" w:type="auto"/>
        <w:tblLook w:val="04A0" w:firstRow="1" w:lastRow="0" w:firstColumn="1" w:lastColumn="0" w:noHBand="0" w:noVBand="1"/>
      </w:tblPr>
      <w:tblGrid>
        <w:gridCol w:w="2339"/>
        <w:gridCol w:w="561"/>
        <w:gridCol w:w="2651"/>
        <w:gridCol w:w="561"/>
        <w:gridCol w:w="2651"/>
      </w:tblGrid>
      <w:tr w:rsidR="00DF1488" w:rsidTr="001940C3">
        <w:tc>
          <w:tcPr>
            <w:tcW w:w="0" w:type="auto"/>
            <w:tcBorders>
              <w:right w:val="single" w:sz="4" w:space="0" w:color="auto"/>
            </w:tcBorders>
          </w:tcPr>
          <w:p w:rsidR="00DF1488" w:rsidRPr="001940C3" w:rsidRDefault="00DF1488" w:rsidP="00276DBF">
            <w:pPr>
              <w:jc w:val="both"/>
              <w:rPr>
                <w:rFonts w:ascii="Arial" w:hAnsi="Arial" w:cs="Arial"/>
                <w:b/>
                <w:sz w:val="40"/>
                <w:szCs w:val="40"/>
              </w:rPr>
            </w:pPr>
            <w:r w:rsidRPr="001940C3">
              <w:rPr>
                <w:rFonts w:ascii="Arial" w:hAnsi="Arial" w:cs="Arial"/>
                <w:b/>
                <w:sz w:val="40"/>
                <w:szCs w:val="40"/>
              </w:rPr>
              <w:t>Налоговая</w:t>
            </w:r>
          </w:p>
          <w:p w:rsidR="00DF1488" w:rsidRPr="001940C3" w:rsidRDefault="00DF1488" w:rsidP="00276DBF">
            <w:pPr>
              <w:jc w:val="both"/>
              <w:rPr>
                <w:rFonts w:ascii="Arial" w:hAnsi="Arial" w:cs="Arial"/>
                <w:sz w:val="40"/>
                <w:szCs w:val="40"/>
              </w:rPr>
            </w:pPr>
            <w:r w:rsidRPr="001940C3">
              <w:rPr>
                <w:rFonts w:ascii="Arial" w:hAnsi="Arial" w:cs="Arial"/>
                <w:b/>
                <w:sz w:val="40"/>
                <w:szCs w:val="40"/>
              </w:rPr>
              <w:t>ставка</w:t>
            </w:r>
          </w:p>
        </w:tc>
        <w:tc>
          <w:tcPr>
            <w:tcW w:w="0" w:type="auto"/>
            <w:tcBorders>
              <w:top w:val="nil"/>
              <w:left w:val="single" w:sz="4" w:space="0" w:color="auto"/>
              <w:bottom w:val="nil"/>
              <w:right w:val="single" w:sz="4" w:space="0" w:color="auto"/>
            </w:tcBorders>
          </w:tcPr>
          <w:p w:rsidR="00DF1488" w:rsidRPr="001940C3" w:rsidRDefault="00DF1488" w:rsidP="00276DBF">
            <w:pPr>
              <w:jc w:val="both"/>
              <w:rPr>
                <w:rFonts w:ascii="Arial" w:hAnsi="Arial" w:cs="Arial"/>
                <w:sz w:val="40"/>
                <w:szCs w:val="40"/>
              </w:rPr>
            </w:pPr>
          </w:p>
          <w:p w:rsidR="00DF1488" w:rsidRPr="001940C3" w:rsidRDefault="001940C3" w:rsidP="00276DBF">
            <w:pPr>
              <w:jc w:val="both"/>
              <w:rPr>
                <w:rFonts w:ascii="Arial" w:hAnsi="Arial" w:cs="Arial"/>
                <w:sz w:val="40"/>
                <w:szCs w:val="40"/>
              </w:rPr>
            </w:pPr>
            <w:r>
              <w:rPr>
                <w:rFonts w:ascii="Arial" w:hAnsi="Arial" w:cs="Arial"/>
                <w:sz w:val="40"/>
                <w:szCs w:val="40"/>
              </w:rPr>
              <w:t xml:space="preserve"> </w:t>
            </w:r>
            <w:r w:rsidR="00DF1488" w:rsidRPr="001940C3">
              <w:rPr>
                <w:rFonts w:ascii="Arial" w:hAnsi="Arial" w:cs="Arial"/>
                <w:sz w:val="40"/>
                <w:szCs w:val="40"/>
              </w:rPr>
              <w:t>=</w:t>
            </w:r>
            <w:r>
              <w:rPr>
                <w:rFonts w:ascii="Arial" w:hAnsi="Arial" w:cs="Arial"/>
                <w:sz w:val="40"/>
                <w:szCs w:val="40"/>
              </w:rPr>
              <w:t xml:space="preserve">     </w:t>
            </w:r>
          </w:p>
        </w:tc>
        <w:tc>
          <w:tcPr>
            <w:tcW w:w="0" w:type="auto"/>
            <w:tcBorders>
              <w:left w:val="single" w:sz="4" w:space="0" w:color="auto"/>
              <w:right w:val="single" w:sz="4" w:space="0" w:color="auto"/>
            </w:tcBorders>
          </w:tcPr>
          <w:p w:rsidR="00DF1488" w:rsidRPr="001940C3" w:rsidRDefault="00DF1488" w:rsidP="00276DBF">
            <w:pPr>
              <w:jc w:val="both"/>
              <w:rPr>
                <w:rFonts w:ascii="Arial" w:hAnsi="Arial" w:cs="Arial"/>
                <w:sz w:val="40"/>
                <w:szCs w:val="40"/>
              </w:rPr>
            </w:pPr>
            <w:r w:rsidRPr="001940C3">
              <w:rPr>
                <w:rFonts w:ascii="Arial" w:hAnsi="Arial" w:cs="Arial"/>
                <w:sz w:val="40"/>
                <w:szCs w:val="40"/>
              </w:rPr>
              <w:t>Квартира</w:t>
            </w:r>
          </w:p>
          <w:p w:rsidR="00DF1488" w:rsidRPr="001940C3" w:rsidRDefault="001940C3" w:rsidP="00276DBF">
            <w:pPr>
              <w:jc w:val="both"/>
              <w:rPr>
                <w:rFonts w:ascii="Arial" w:hAnsi="Arial" w:cs="Arial"/>
                <w:sz w:val="40"/>
                <w:szCs w:val="40"/>
              </w:rPr>
            </w:pPr>
            <w:r w:rsidRPr="001940C3">
              <w:rPr>
                <w:rFonts w:ascii="Arial" w:hAnsi="Arial" w:cs="Arial"/>
                <w:sz w:val="40"/>
                <w:szCs w:val="40"/>
              </w:rPr>
              <w:t>3</w:t>
            </w:r>
            <w:r w:rsidR="00DF1488" w:rsidRPr="001940C3">
              <w:rPr>
                <w:rFonts w:ascii="Arial" w:hAnsi="Arial" w:cs="Arial"/>
                <w:sz w:val="40"/>
                <w:szCs w:val="40"/>
              </w:rPr>
              <w:t>00 тыс. руб.</w:t>
            </w:r>
          </w:p>
        </w:tc>
        <w:tc>
          <w:tcPr>
            <w:tcW w:w="0" w:type="auto"/>
            <w:tcBorders>
              <w:top w:val="nil"/>
              <w:left w:val="single" w:sz="4" w:space="0" w:color="auto"/>
              <w:bottom w:val="nil"/>
              <w:right w:val="single" w:sz="4" w:space="0" w:color="auto"/>
            </w:tcBorders>
          </w:tcPr>
          <w:p w:rsidR="00DF1488" w:rsidRPr="001940C3" w:rsidRDefault="00DF1488" w:rsidP="00276DBF">
            <w:pPr>
              <w:jc w:val="both"/>
              <w:rPr>
                <w:rFonts w:ascii="Arial" w:hAnsi="Arial" w:cs="Arial"/>
                <w:sz w:val="40"/>
                <w:szCs w:val="40"/>
              </w:rPr>
            </w:pPr>
          </w:p>
          <w:p w:rsidR="00DF1488" w:rsidRPr="001940C3" w:rsidRDefault="001940C3" w:rsidP="00276DBF">
            <w:pPr>
              <w:jc w:val="both"/>
              <w:rPr>
                <w:rFonts w:ascii="Arial" w:hAnsi="Arial" w:cs="Arial"/>
                <w:sz w:val="40"/>
                <w:szCs w:val="40"/>
              </w:rPr>
            </w:pPr>
            <w:r>
              <w:rPr>
                <w:rFonts w:ascii="Arial" w:hAnsi="Arial" w:cs="Arial"/>
                <w:sz w:val="40"/>
                <w:szCs w:val="40"/>
              </w:rPr>
              <w:t xml:space="preserve"> </w:t>
            </w:r>
            <w:r w:rsidR="00DF1488" w:rsidRPr="001940C3">
              <w:rPr>
                <w:rFonts w:ascii="Arial" w:hAnsi="Arial" w:cs="Arial"/>
                <w:sz w:val="40"/>
                <w:szCs w:val="40"/>
              </w:rPr>
              <w:t>+</w:t>
            </w:r>
            <w:r>
              <w:rPr>
                <w:rFonts w:ascii="Arial" w:hAnsi="Arial" w:cs="Arial"/>
                <w:sz w:val="40"/>
                <w:szCs w:val="40"/>
              </w:rPr>
              <w:t xml:space="preserve">         </w:t>
            </w:r>
          </w:p>
        </w:tc>
        <w:tc>
          <w:tcPr>
            <w:tcW w:w="0" w:type="auto"/>
            <w:tcBorders>
              <w:left w:val="single" w:sz="4" w:space="0" w:color="auto"/>
            </w:tcBorders>
          </w:tcPr>
          <w:p w:rsidR="00DF1488" w:rsidRPr="001940C3" w:rsidRDefault="00DF1488" w:rsidP="00276DBF">
            <w:pPr>
              <w:jc w:val="both"/>
              <w:rPr>
                <w:rFonts w:ascii="Arial" w:hAnsi="Arial" w:cs="Arial"/>
                <w:sz w:val="40"/>
                <w:szCs w:val="40"/>
              </w:rPr>
            </w:pPr>
            <w:r w:rsidRPr="001940C3">
              <w:rPr>
                <w:rFonts w:ascii="Arial" w:hAnsi="Arial" w:cs="Arial"/>
                <w:sz w:val="40"/>
                <w:szCs w:val="40"/>
              </w:rPr>
              <w:t>Жилой дом</w:t>
            </w:r>
          </w:p>
          <w:p w:rsidR="00DF1488" w:rsidRPr="001940C3" w:rsidRDefault="001940C3" w:rsidP="00276DBF">
            <w:pPr>
              <w:jc w:val="both"/>
              <w:rPr>
                <w:rFonts w:ascii="Arial" w:hAnsi="Arial" w:cs="Arial"/>
                <w:sz w:val="40"/>
                <w:szCs w:val="40"/>
              </w:rPr>
            </w:pPr>
            <w:r w:rsidRPr="001940C3">
              <w:rPr>
                <w:rFonts w:ascii="Arial" w:hAnsi="Arial" w:cs="Arial"/>
                <w:sz w:val="40"/>
                <w:szCs w:val="40"/>
              </w:rPr>
              <w:t>150</w:t>
            </w:r>
            <w:r w:rsidR="00DF1488" w:rsidRPr="001940C3">
              <w:rPr>
                <w:rFonts w:ascii="Arial" w:hAnsi="Arial" w:cs="Arial"/>
                <w:sz w:val="40"/>
                <w:szCs w:val="40"/>
              </w:rPr>
              <w:t xml:space="preserve"> тыс. руб.</w:t>
            </w:r>
          </w:p>
        </w:tc>
      </w:tr>
    </w:tbl>
    <w:p w:rsidR="00DF1488" w:rsidRPr="001940C3" w:rsidRDefault="00DF1488" w:rsidP="00276DBF">
      <w:pPr>
        <w:jc w:val="both"/>
        <w:rPr>
          <w:rFonts w:ascii="Arial" w:hAnsi="Arial" w:cs="Arial"/>
          <w:sz w:val="16"/>
          <w:szCs w:val="16"/>
        </w:rPr>
      </w:pPr>
    </w:p>
    <w:p w:rsidR="001940C3" w:rsidRDefault="001940C3" w:rsidP="001940C3">
      <w:pPr>
        <w:spacing w:after="0" w:line="240" w:lineRule="auto"/>
        <w:jc w:val="both"/>
        <w:rPr>
          <w:rFonts w:ascii="Arial" w:hAnsi="Arial" w:cs="Arial"/>
          <w:sz w:val="24"/>
          <w:szCs w:val="24"/>
        </w:rPr>
      </w:pPr>
      <w:r>
        <w:rPr>
          <w:rFonts w:ascii="Arial" w:hAnsi="Arial" w:cs="Arial"/>
          <w:sz w:val="24"/>
          <w:szCs w:val="24"/>
        </w:rPr>
        <w:t>Ставка берется с учетом всех объектов            300 000х1,329=398 700</w:t>
      </w:r>
    </w:p>
    <w:p w:rsidR="001940C3" w:rsidRDefault="001940C3" w:rsidP="001940C3">
      <w:pPr>
        <w:spacing w:after="0" w:line="240" w:lineRule="auto"/>
        <w:jc w:val="both"/>
        <w:rPr>
          <w:rFonts w:ascii="Arial" w:hAnsi="Arial" w:cs="Arial"/>
          <w:sz w:val="24"/>
          <w:szCs w:val="24"/>
        </w:rPr>
      </w:pPr>
      <w:r>
        <w:rPr>
          <w:rFonts w:ascii="Arial" w:hAnsi="Arial" w:cs="Arial"/>
          <w:sz w:val="24"/>
          <w:szCs w:val="24"/>
        </w:rPr>
        <w:t>недвижимости, принадлежащих человеку         150 000х1,329=199 350</w:t>
      </w:r>
    </w:p>
    <w:p w:rsidR="001940C3" w:rsidRDefault="001940C3" w:rsidP="001940C3">
      <w:pPr>
        <w:spacing w:after="0" w:line="240" w:lineRule="auto"/>
        <w:jc w:val="both"/>
        <w:rPr>
          <w:rFonts w:ascii="Arial" w:hAnsi="Arial" w:cs="Arial"/>
          <w:sz w:val="24"/>
          <w:szCs w:val="24"/>
        </w:rPr>
      </w:pPr>
      <w:bookmarkStart w:id="0" w:name="_GoBack"/>
      <w:bookmarkEnd w:id="0"/>
    </w:p>
    <w:p w:rsidR="001940C3" w:rsidRDefault="001940C3" w:rsidP="001940C3">
      <w:pPr>
        <w:spacing w:after="0" w:line="240" w:lineRule="auto"/>
        <w:jc w:val="both"/>
        <w:rPr>
          <w:rFonts w:ascii="Arial" w:hAnsi="Arial" w:cs="Arial"/>
          <w:sz w:val="24"/>
          <w:szCs w:val="24"/>
        </w:rPr>
      </w:pPr>
      <w:r>
        <w:rPr>
          <w:rFonts w:ascii="Arial" w:hAnsi="Arial" w:cs="Arial"/>
          <w:sz w:val="24"/>
          <w:szCs w:val="24"/>
        </w:rPr>
        <w:t xml:space="preserve">                                                </w:t>
      </w:r>
      <w:r w:rsidR="000B7146">
        <w:rPr>
          <w:rFonts w:ascii="Arial" w:hAnsi="Arial" w:cs="Arial"/>
          <w:sz w:val="24"/>
          <w:szCs w:val="24"/>
        </w:rPr>
        <w:t xml:space="preserve">                        </w:t>
      </w:r>
      <w:r>
        <w:rPr>
          <w:rFonts w:ascii="Arial" w:hAnsi="Arial" w:cs="Arial"/>
          <w:sz w:val="24"/>
          <w:szCs w:val="24"/>
        </w:rPr>
        <w:t>Стоимость суммируется:</w:t>
      </w:r>
    </w:p>
    <w:p w:rsidR="001940C3" w:rsidRPr="00D51402" w:rsidRDefault="001940C3" w:rsidP="001940C3">
      <w:pPr>
        <w:spacing w:after="0" w:line="240" w:lineRule="auto"/>
        <w:jc w:val="both"/>
        <w:rPr>
          <w:rFonts w:ascii="Arial" w:hAnsi="Arial" w:cs="Arial"/>
          <w:b/>
          <w:sz w:val="24"/>
          <w:szCs w:val="24"/>
        </w:rPr>
      </w:pPr>
      <w:r>
        <w:rPr>
          <w:rFonts w:ascii="Arial" w:hAnsi="Arial" w:cs="Arial"/>
          <w:sz w:val="24"/>
          <w:szCs w:val="24"/>
        </w:rPr>
        <w:t xml:space="preserve">                                                    </w:t>
      </w:r>
      <w:r w:rsidR="000B7146">
        <w:rPr>
          <w:rFonts w:ascii="Arial" w:hAnsi="Arial" w:cs="Arial"/>
          <w:sz w:val="24"/>
          <w:szCs w:val="24"/>
        </w:rPr>
        <w:t xml:space="preserve">                    </w:t>
      </w:r>
      <w:r>
        <w:rPr>
          <w:rFonts w:ascii="Arial" w:hAnsi="Arial" w:cs="Arial"/>
          <w:sz w:val="24"/>
          <w:szCs w:val="24"/>
        </w:rPr>
        <w:t xml:space="preserve">398 700+199 350=598 050 </w:t>
      </w:r>
      <w:r w:rsidR="00D51402" w:rsidRPr="00D51402">
        <w:rPr>
          <w:rFonts w:ascii="Arial" w:hAnsi="Arial" w:cs="Arial"/>
          <w:b/>
          <w:sz w:val="32"/>
          <w:szCs w:val="32"/>
        </w:rPr>
        <w:t>&gt;</w:t>
      </w:r>
      <w:r w:rsidR="00D51402" w:rsidRPr="00D51402">
        <w:rPr>
          <w:rFonts w:ascii="Arial" w:hAnsi="Arial" w:cs="Arial"/>
          <w:sz w:val="24"/>
          <w:szCs w:val="24"/>
        </w:rPr>
        <w:t xml:space="preserve"> </w:t>
      </w:r>
      <w:r w:rsidR="00D51402" w:rsidRPr="00D51402">
        <w:rPr>
          <w:rFonts w:ascii="Arial" w:hAnsi="Arial" w:cs="Arial"/>
          <w:b/>
          <w:sz w:val="24"/>
          <w:szCs w:val="24"/>
        </w:rPr>
        <w:t>500 тыс.руб.</w:t>
      </w:r>
    </w:p>
    <w:p w:rsidR="00DF5C5D" w:rsidRDefault="00D51402" w:rsidP="00691A74">
      <w:pPr>
        <w:jc w:val="center"/>
        <w:rPr>
          <w:rFonts w:ascii="Arial" w:hAnsi="Arial" w:cs="Arial"/>
          <w:b/>
          <w:sz w:val="28"/>
          <w:szCs w:val="28"/>
        </w:rPr>
      </w:pPr>
      <w:r>
        <w:rPr>
          <w:rFonts w:ascii="Arial" w:hAnsi="Arial" w:cs="Arial"/>
          <w:sz w:val="32"/>
          <w:szCs w:val="32"/>
        </w:rPr>
        <w:t xml:space="preserve">                                                                                     </w:t>
      </w:r>
      <w:r w:rsidRPr="00D51402">
        <w:rPr>
          <w:rFonts w:ascii="Arial" w:hAnsi="Arial" w:cs="Arial"/>
          <w:sz w:val="20"/>
          <w:szCs w:val="20"/>
        </w:rPr>
        <w:t>ставка</w:t>
      </w:r>
      <w:r>
        <w:rPr>
          <w:rFonts w:ascii="Arial" w:hAnsi="Arial" w:cs="Arial"/>
          <w:sz w:val="24"/>
          <w:szCs w:val="24"/>
        </w:rPr>
        <w:t xml:space="preserve"> </w:t>
      </w:r>
      <w:r w:rsidRPr="00D51402">
        <w:rPr>
          <w:rFonts w:ascii="Arial" w:hAnsi="Arial" w:cs="Arial"/>
          <w:b/>
          <w:sz w:val="28"/>
          <w:szCs w:val="28"/>
        </w:rPr>
        <w:t>0,3</w:t>
      </w:r>
      <w:r w:rsidR="006A5550">
        <w:rPr>
          <w:rFonts w:ascii="Arial" w:hAnsi="Arial" w:cs="Arial"/>
          <w:b/>
          <w:sz w:val="28"/>
          <w:szCs w:val="28"/>
        </w:rPr>
        <w:t>5</w:t>
      </w:r>
      <w:r w:rsidRPr="00D51402">
        <w:rPr>
          <w:rFonts w:ascii="Arial" w:hAnsi="Arial" w:cs="Arial"/>
          <w:b/>
          <w:sz w:val="28"/>
          <w:szCs w:val="28"/>
        </w:rPr>
        <w:t>%</w:t>
      </w:r>
    </w:p>
    <w:p w:rsidR="00D51402" w:rsidRDefault="00D51402" w:rsidP="000B7146">
      <w:pPr>
        <w:spacing w:after="0" w:line="240" w:lineRule="auto"/>
        <w:jc w:val="center"/>
        <w:rPr>
          <w:rFonts w:ascii="Arial" w:hAnsi="Arial" w:cs="Arial"/>
          <w:sz w:val="24"/>
          <w:szCs w:val="24"/>
        </w:rPr>
      </w:pPr>
      <w:r w:rsidRPr="000B7146">
        <w:rPr>
          <w:rFonts w:ascii="Arial" w:hAnsi="Arial" w:cs="Arial"/>
          <w:sz w:val="28"/>
          <w:szCs w:val="28"/>
        </w:rPr>
        <w:t xml:space="preserve">   </w:t>
      </w:r>
      <w:r w:rsidR="000B7146" w:rsidRPr="00587314">
        <w:rPr>
          <w:rFonts w:ascii="Arial" w:hAnsi="Arial" w:cs="Arial"/>
          <w:b/>
          <w:color w:val="0070C0"/>
          <w:sz w:val="28"/>
          <w:szCs w:val="28"/>
        </w:rPr>
        <w:t>Расчет налога</w:t>
      </w:r>
      <w:r w:rsidR="000B7146" w:rsidRPr="00587314">
        <w:rPr>
          <w:rFonts w:ascii="Arial" w:hAnsi="Arial" w:cs="Arial"/>
          <w:color w:val="0070C0"/>
          <w:sz w:val="28"/>
          <w:szCs w:val="28"/>
        </w:rPr>
        <w:t xml:space="preserve">     </w:t>
      </w:r>
      <w:r w:rsidR="006478B9">
        <w:rPr>
          <w:rFonts w:ascii="Arial" w:hAnsi="Arial" w:cs="Arial"/>
          <w:sz w:val="24"/>
          <w:szCs w:val="24"/>
        </w:rPr>
        <w:t>398 700х0,3</w:t>
      </w:r>
      <w:r w:rsidR="00414E19">
        <w:rPr>
          <w:rFonts w:ascii="Arial" w:hAnsi="Arial" w:cs="Arial"/>
          <w:sz w:val="24"/>
          <w:szCs w:val="24"/>
        </w:rPr>
        <w:t>5</w:t>
      </w:r>
      <w:r w:rsidRPr="000B7146">
        <w:rPr>
          <w:rFonts w:ascii="Arial" w:hAnsi="Arial" w:cs="Arial"/>
          <w:sz w:val="24"/>
          <w:szCs w:val="24"/>
        </w:rPr>
        <w:t>/100=</w:t>
      </w:r>
      <w:r w:rsidR="00414E19">
        <w:rPr>
          <w:rFonts w:ascii="Arial" w:hAnsi="Arial" w:cs="Arial"/>
          <w:sz w:val="24"/>
          <w:szCs w:val="24"/>
        </w:rPr>
        <w:t>1395,45</w:t>
      </w:r>
    </w:p>
    <w:p w:rsidR="000B7146" w:rsidRDefault="000B7146" w:rsidP="000B7146">
      <w:pPr>
        <w:spacing w:after="0" w:line="240" w:lineRule="auto"/>
        <w:jc w:val="center"/>
        <w:rPr>
          <w:rFonts w:ascii="Arial" w:hAnsi="Arial" w:cs="Arial"/>
          <w:sz w:val="24"/>
          <w:szCs w:val="24"/>
        </w:rPr>
      </w:pPr>
      <w:r>
        <w:rPr>
          <w:rFonts w:ascii="Arial" w:hAnsi="Arial" w:cs="Arial"/>
          <w:sz w:val="24"/>
          <w:szCs w:val="24"/>
        </w:rPr>
        <w:t xml:space="preserve">                                     </w:t>
      </w:r>
      <w:r w:rsidR="006478B9">
        <w:rPr>
          <w:rFonts w:ascii="Arial" w:hAnsi="Arial" w:cs="Arial"/>
          <w:sz w:val="24"/>
          <w:szCs w:val="24"/>
        </w:rPr>
        <w:t>199 350х0,3</w:t>
      </w:r>
      <w:r w:rsidR="00414E19">
        <w:rPr>
          <w:rFonts w:ascii="Arial" w:hAnsi="Arial" w:cs="Arial"/>
          <w:sz w:val="24"/>
          <w:szCs w:val="24"/>
        </w:rPr>
        <w:t>5</w:t>
      </w:r>
      <w:r>
        <w:rPr>
          <w:rFonts w:ascii="Arial" w:hAnsi="Arial" w:cs="Arial"/>
          <w:sz w:val="24"/>
          <w:szCs w:val="24"/>
        </w:rPr>
        <w:t>/100=</w:t>
      </w:r>
      <w:r w:rsidR="00414E19">
        <w:rPr>
          <w:rFonts w:ascii="Arial" w:hAnsi="Arial" w:cs="Arial"/>
          <w:sz w:val="24"/>
          <w:szCs w:val="24"/>
        </w:rPr>
        <w:t>697,73</w:t>
      </w:r>
    </w:p>
    <w:p w:rsidR="000B7146" w:rsidRDefault="000B7146" w:rsidP="000B7146">
      <w:pPr>
        <w:spacing w:after="0" w:line="240" w:lineRule="auto"/>
        <w:jc w:val="center"/>
        <w:rPr>
          <w:rFonts w:ascii="Arial" w:hAnsi="Arial" w:cs="Arial"/>
          <w:sz w:val="24"/>
          <w:szCs w:val="24"/>
        </w:rPr>
      </w:pPr>
    </w:p>
    <w:p w:rsidR="00A04F0A" w:rsidRDefault="000B7146" w:rsidP="00691A74">
      <w:pPr>
        <w:jc w:val="center"/>
        <w:rPr>
          <w:rFonts w:ascii="Arial" w:hAnsi="Arial" w:cs="Arial"/>
          <w:sz w:val="24"/>
          <w:szCs w:val="24"/>
        </w:rPr>
      </w:pPr>
      <w:r>
        <w:rPr>
          <w:rFonts w:ascii="Arial" w:hAnsi="Arial" w:cs="Arial"/>
          <w:sz w:val="24"/>
          <w:szCs w:val="24"/>
        </w:rPr>
        <w:t xml:space="preserve">           </w:t>
      </w:r>
      <w:r w:rsidR="009E1A0D">
        <w:rPr>
          <w:rFonts w:ascii="Arial" w:hAnsi="Arial" w:cs="Arial"/>
          <w:sz w:val="24"/>
          <w:szCs w:val="24"/>
        </w:rPr>
        <w:t xml:space="preserve">         </w:t>
      </w:r>
      <w:r w:rsidRPr="00587314">
        <w:rPr>
          <w:rFonts w:ascii="Arial" w:hAnsi="Arial" w:cs="Arial"/>
          <w:b/>
          <w:color w:val="0070C0"/>
          <w:sz w:val="24"/>
          <w:szCs w:val="24"/>
        </w:rPr>
        <w:t>ИТОГО</w:t>
      </w:r>
      <w:r>
        <w:rPr>
          <w:rFonts w:ascii="Arial" w:hAnsi="Arial" w:cs="Arial"/>
          <w:sz w:val="24"/>
          <w:szCs w:val="24"/>
        </w:rPr>
        <w:t>:</w:t>
      </w:r>
      <w:r w:rsidR="009E1A0D">
        <w:rPr>
          <w:rFonts w:ascii="Arial" w:hAnsi="Arial" w:cs="Arial"/>
          <w:sz w:val="24"/>
          <w:szCs w:val="24"/>
        </w:rPr>
        <w:t xml:space="preserve">            </w:t>
      </w:r>
      <w:r w:rsidR="00414E19">
        <w:rPr>
          <w:rFonts w:ascii="Arial" w:hAnsi="Arial" w:cs="Arial"/>
          <w:sz w:val="24"/>
          <w:szCs w:val="24"/>
        </w:rPr>
        <w:t>1395,45</w:t>
      </w:r>
      <w:r>
        <w:rPr>
          <w:rFonts w:ascii="Arial" w:hAnsi="Arial" w:cs="Arial"/>
          <w:sz w:val="24"/>
          <w:szCs w:val="24"/>
        </w:rPr>
        <w:t>+</w:t>
      </w:r>
      <w:r w:rsidR="00414E19">
        <w:rPr>
          <w:rFonts w:ascii="Arial" w:hAnsi="Arial" w:cs="Arial"/>
          <w:sz w:val="24"/>
          <w:szCs w:val="24"/>
        </w:rPr>
        <w:t>697,73</w:t>
      </w:r>
      <w:r>
        <w:rPr>
          <w:rFonts w:ascii="Arial" w:hAnsi="Arial" w:cs="Arial"/>
          <w:sz w:val="24"/>
          <w:szCs w:val="24"/>
        </w:rPr>
        <w:t>=</w:t>
      </w:r>
      <w:r w:rsidR="00414E19">
        <w:rPr>
          <w:rFonts w:ascii="Arial" w:hAnsi="Arial" w:cs="Arial"/>
          <w:b/>
          <w:sz w:val="24"/>
          <w:szCs w:val="24"/>
        </w:rPr>
        <w:t>2093,18</w:t>
      </w:r>
      <w:r w:rsidRPr="009E1A0D">
        <w:rPr>
          <w:rFonts w:ascii="Arial" w:hAnsi="Arial" w:cs="Arial"/>
          <w:b/>
          <w:sz w:val="24"/>
          <w:szCs w:val="24"/>
        </w:rPr>
        <w:t xml:space="preserve"> руб.</w:t>
      </w:r>
    </w:p>
    <w:p w:rsidR="00EB1B75" w:rsidRDefault="00EB1B75" w:rsidP="00A04F0A">
      <w:pPr>
        <w:tabs>
          <w:tab w:val="left" w:pos="1764"/>
        </w:tabs>
        <w:rPr>
          <w:rFonts w:ascii="Arial" w:hAnsi="Arial" w:cs="Arial"/>
          <w:sz w:val="24"/>
          <w:szCs w:val="24"/>
        </w:rPr>
      </w:pPr>
    </w:p>
    <w:p w:rsidR="000B7146" w:rsidRPr="00EB1B75" w:rsidRDefault="00EB1B75" w:rsidP="00EB1B75">
      <w:pPr>
        <w:tabs>
          <w:tab w:val="left" w:pos="1764"/>
        </w:tabs>
        <w:spacing w:after="0" w:line="240" w:lineRule="auto"/>
        <w:jc w:val="both"/>
        <w:rPr>
          <w:rFonts w:ascii="Arial" w:hAnsi="Arial" w:cs="Arial"/>
        </w:rPr>
      </w:pPr>
      <w:r w:rsidRPr="00EB1B75">
        <w:rPr>
          <w:rFonts w:ascii="Arial" w:hAnsi="Arial" w:cs="Arial"/>
        </w:rPr>
        <w:t xml:space="preserve">Узнать о ставках имущественных налогов, действующих на всей территории </w:t>
      </w:r>
      <w:r w:rsidR="00D66DF6">
        <w:rPr>
          <w:rFonts w:ascii="Arial" w:hAnsi="Arial" w:cs="Arial"/>
        </w:rPr>
        <w:t xml:space="preserve">Саянского </w:t>
      </w:r>
      <w:r w:rsidRPr="00EB1B75">
        <w:rPr>
          <w:rFonts w:ascii="Arial" w:hAnsi="Arial" w:cs="Arial"/>
        </w:rPr>
        <w:t>района</w:t>
      </w:r>
      <w:r w:rsidR="0056189E">
        <w:rPr>
          <w:rFonts w:ascii="Arial" w:hAnsi="Arial" w:cs="Arial"/>
        </w:rPr>
        <w:t>,</w:t>
      </w:r>
      <w:r w:rsidRPr="00EB1B75">
        <w:rPr>
          <w:rFonts w:ascii="Arial" w:hAnsi="Arial" w:cs="Arial"/>
        </w:rPr>
        <w:t xml:space="preserve"> можно в электронном сервисе «Справочная информация о ставках и льготах по имущественным налогам» на сайте Федеральной налоговой службы </w:t>
      </w:r>
      <w:hyperlink r:id="rId7" w:history="1">
        <w:r w:rsidRPr="00EB1B75">
          <w:rPr>
            <w:rStyle w:val="a9"/>
            <w:rFonts w:ascii="Arial" w:hAnsi="Arial" w:cs="Arial"/>
            <w:lang w:val="en-US"/>
          </w:rPr>
          <w:t>www</w:t>
        </w:r>
        <w:r w:rsidRPr="00EB1B75">
          <w:rPr>
            <w:rStyle w:val="a9"/>
            <w:rFonts w:ascii="Arial" w:hAnsi="Arial" w:cs="Arial"/>
          </w:rPr>
          <w:t>.</w:t>
        </w:r>
        <w:r w:rsidRPr="00EB1B75">
          <w:rPr>
            <w:rStyle w:val="a9"/>
            <w:rFonts w:ascii="Arial" w:hAnsi="Arial" w:cs="Arial"/>
            <w:lang w:val="en-US"/>
          </w:rPr>
          <w:t>nalog</w:t>
        </w:r>
        <w:r w:rsidRPr="00EB1B75">
          <w:rPr>
            <w:rStyle w:val="a9"/>
            <w:rFonts w:ascii="Arial" w:hAnsi="Arial" w:cs="Arial"/>
          </w:rPr>
          <w:t>.</w:t>
        </w:r>
        <w:r w:rsidRPr="00EB1B75">
          <w:rPr>
            <w:rStyle w:val="a9"/>
            <w:rFonts w:ascii="Arial" w:hAnsi="Arial" w:cs="Arial"/>
            <w:lang w:val="en-US"/>
          </w:rPr>
          <w:t>ru</w:t>
        </w:r>
      </w:hyperlink>
      <w:r w:rsidRPr="00EB1B75">
        <w:rPr>
          <w:rFonts w:ascii="Arial" w:hAnsi="Arial" w:cs="Arial"/>
        </w:rPr>
        <w:t xml:space="preserve"> .</w:t>
      </w:r>
      <w:r w:rsidR="00A04F0A" w:rsidRPr="00EB1B75">
        <w:rPr>
          <w:rFonts w:ascii="Arial" w:hAnsi="Arial" w:cs="Arial"/>
        </w:rPr>
        <w:tab/>
      </w:r>
    </w:p>
    <w:sectPr w:rsidR="000B7146" w:rsidRPr="00EB1B75" w:rsidSect="00D51402">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BDA" w:rsidRDefault="00505BDA" w:rsidP="00DF5C5D">
      <w:pPr>
        <w:spacing w:after="0" w:line="240" w:lineRule="auto"/>
      </w:pPr>
      <w:r>
        <w:separator/>
      </w:r>
    </w:p>
  </w:endnote>
  <w:endnote w:type="continuationSeparator" w:id="0">
    <w:p w:rsidR="00505BDA" w:rsidRDefault="00505BDA" w:rsidP="00DF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BDA" w:rsidRDefault="00505BDA" w:rsidP="00DF5C5D">
      <w:pPr>
        <w:spacing w:after="0" w:line="240" w:lineRule="auto"/>
      </w:pPr>
      <w:r>
        <w:separator/>
      </w:r>
    </w:p>
  </w:footnote>
  <w:footnote w:type="continuationSeparator" w:id="0">
    <w:p w:rsidR="00505BDA" w:rsidRDefault="00505BDA" w:rsidP="00DF5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7"/>
    <w:rsid w:val="00043ED4"/>
    <w:rsid w:val="000B7146"/>
    <w:rsid w:val="001940C3"/>
    <w:rsid w:val="001E7D98"/>
    <w:rsid w:val="002406D7"/>
    <w:rsid w:val="00276DBF"/>
    <w:rsid w:val="002831BB"/>
    <w:rsid w:val="00294267"/>
    <w:rsid w:val="00314400"/>
    <w:rsid w:val="0031570F"/>
    <w:rsid w:val="003535B0"/>
    <w:rsid w:val="00414E19"/>
    <w:rsid w:val="004C2BAC"/>
    <w:rsid w:val="004C5534"/>
    <w:rsid w:val="004F2976"/>
    <w:rsid w:val="00505BDA"/>
    <w:rsid w:val="005141B5"/>
    <w:rsid w:val="0056189E"/>
    <w:rsid w:val="00587314"/>
    <w:rsid w:val="00590B67"/>
    <w:rsid w:val="006478B9"/>
    <w:rsid w:val="00691A74"/>
    <w:rsid w:val="006A5550"/>
    <w:rsid w:val="007B37E1"/>
    <w:rsid w:val="008C6E1F"/>
    <w:rsid w:val="00991A8E"/>
    <w:rsid w:val="009E1A0D"/>
    <w:rsid w:val="00A04F0A"/>
    <w:rsid w:val="00B417A6"/>
    <w:rsid w:val="00BB1D01"/>
    <w:rsid w:val="00C309BE"/>
    <w:rsid w:val="00D51402"/>
    <w:rsid w:val="00D66DF6"/>
    <w:rsid w:val="00DF1488"/>
    <w:rsid w:val="00DF5C5D"/>
    <w:rsid w:val="00EB1B75"/>
    <w:rsid w:val="00F5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57C22-8235-4387-B24C-FBA12DBA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A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1A74"/>
    <w:rPr>
      <w:rFonts w:ascii="Segoe UI" w:hAnsi="Segoe UI" w:cs="Segoe UI"/>
      <w:sz w:val="18"/>
      <w:szCs w:val="18"/>
    </w:rPr>
  </w:style>
  <w:style w:type="table" w:styleId="a5">
    <w:name w:val="Table Grid"/>
    <w:basedOn w:val="a1"/>
    <w:uiPriority w:val="39"/>
    <w:rsid w:val="008C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5C5D"/>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
    <w:link w:val="a7"/>
    <w:uiPriority w:val="99"/>
    <w:semiHidden/>
    <w:rsid w:val="00DF5C5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F5C5D"/>
    <w:rPr>
      <w:rFonts w:ascii="Times New Roman" w:eastAsia="Times New Roman" w:hAnsi="Times New Roman" w:cs="Times New Roman"/>
      <w:sz w:val="20"/>
      <w:szCs w:val="20"/>
      <w:lang w:eastAsia="ru-RU"/>
    </w:rPr>
  </w:style>
  <w:style w:type="character" w:styleId="a8">
    <w:name w:val="footnote reference"/>
    <w:basedOn w:val="a0"/>
    <w:uiPriority w:val="99"/>
    <w:semiHidden/>
    <w:rsid w:val="00DF5C5D"/>
    <w:rPr>
      <w:vertAlign w:val="superscript"/>
    </w:rPr>
  </w:style>
  <w:style w:type="character" w:styleId="a9">
    <w:name w:val="Hyperlink"/>
    <w:basedOn w:val="a0"/>
    <w:uiPriority w:val="99"/>
    <w:unhideWhenUsed/>
    <w:rsid w:val="00EB1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69A8-FE32-42E6-9A47-0800B8C6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Елена Алексеевна</dc:creator>
  <cp:lastModifiedBy>Жукова Елена Алексеевна</cp:lastModifiedBy>
  <cp:revision>9</cp:revision>
  <cp:lastPrinted>2017-08-15T11:08:00Z</cp:lastPrinted>
  <dcterms:created xsi:type="dcterms:W3CDTF">2017-08-21T22:45:00Z</dcterms:created>
  <dcterms:modified xsi:type="dcterms:W3CDTF">2017-08-25T04:53:00Z</dcterms:modified>
</cp:coreProperties>
</file>